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5E57E9" w14:textId="77777777" w:rsidR="004B0C7B" w:rsidRPr="00EC6910" w:rsidRDefault="004B0C7B" w:rsidP="004B0C7B">
      <w:pPr>
        <w:spacing w:line="480" w:lineRule="auto"/>
        <w:rPr>
          <w:rFonts w:ascii="Times New Roman" w:hAnsi="Times New Roman" w:cs="Times New Roman"/>
        </w:rPr>
      </w:pPr>
    </w:p>
    <w:p w14:paraId="405F8745" w14:textId="77777777" w:rsidR="004B0C7B" w:rsidRPr="00EC6910" w:rsidRDefault="004B0C7B" w:rsidP="004B0C7B">
      <w:pPr>
        <w:spacing w:line="480" w:lineRule="auto"/>
        <w:rPr>
          <w:rFonts w:ascii="Times New Roman" w:hAnsi="Times New Roman" w:cs="Times New Roman"/>
        </w:rPr>
      </w:pPr>
    </w:p>
    <w:p w14:paraId="2BD5450C" w14:textId="77777777" w:rsidR="004B0C7B" w:rsidRPr="00EC6910" w:rsidRDefault="004B0C7B" w:rsidP="004B0C7B">
      <w:pPr>
        <w:spacing w:line="480" w:lineRule="auto"/>
        <w:rPr>
          <w:rFonts w:ascii="Times New Roman" w:hAnsi="Times New Roman" w:cs="Times New Roman"/>
        </w:rPr>
      </w:pPr>
    </w:p>
    <w:p w14:paraId="2FC6B52D" w14:textId="77777777" w:rsidR="004B0C7B" w:rsidRPr="00EC6910" w:rsidRDefault="004B0C7B" w:rsidP="004B0C7B">
      <w:pPr>
        <w:spacing w:line="480" w:lineRule="auto"/>
        <w:rPr>
          <w:rFonts w:ascii="Times New Roman" w:hAnsi="Times New Roman" w:cs="Times New Roman"/>
        </w:rPr>
      </w:pPr>
    </w:p>
    <w:p w14:paraId="752154B0" w14:textId="77777777" w:rsidR="004B0C7B" w:rsidRPr="00EC6910" w:rsidRDefault="004B0C7B" w:rsidP="004B0C7B">
      <w:pPr>
        <w:spacing w:line="480" w:lineRule="auto"/>
        <w:rPr>
          <w:rFonts w:ascii="Times New Roman" w:hAnsi="Times New Roman" w:cs="Times New Roman"/>
        </w:rPr>
      </w:pPr>
    </w:p>
    <w:p w14:paraId="1ABADFDF" w14:textId="77777777" w:rsidR="004B0C7B" w:rsidRPr="00EC6910" w:rsidRDefault="004B0C7B" w:rsidP="004B0C7B">
      <w:pPr>
        <w:spacing w:line="480" w:lineRule="auto"/>
        <w:jc w:val="center"/>
        <w:rPr>
          <w:rFonts w:ascii="Times New Roman" w:hAnsi="Times New Roman" w:cs="Times New Roman"/>
          <w:b/>
          <w:bCs/>
        </w:rPr>
      </w:pPr>
      <w:r w:rsidRPr="00EC6910">
        <w:rPr>
          <w:rFonts w:ascii="Times New Roman" w:hAnsi="Times New Roman" w:cs="Times New Roman"/>
          <w:b/>
          <w:bCs/>
        </w:rPr>
        <w:t>Debunking “The Transgender Agenda”</w:t>
      </w:r>
    </w:p>
    <w:p w14:paraId="0E2B3246" w14:textId="77777777" w:rsidR="004B0C7B" w:rsidRPr="00EC6910" w:rsidRDefault="004B0C7B" w:rsidP="004B0C7B">
      <w:pPr>
        <w:spacing w:line="480" w:lineRule="auto"/>
        <w:jc w:val="center"/>
        <w:rPr>
          <w:rFonts w:ascii="Times New Roman" w:hAnsi="Times New Roman" w:cs="Times New Roman"/>
        </w:rPr>
      </w:pPr>
      <w:r w:rsidRPr="00EC6910">
        <w:rPr>
          <w:rFonts w:ascii="Times New Roman" w:hAnsi="Times New Roman" w:cs="Times New Roman"/>
        </w:rPr>
        <w:t>Sage Janzen</w:t>
      </w:r>
    </w:p>
    <w:p w14:paraId="2A346D1D" w14:textId="77777777" w:rsidR="004B0C7B" w:rsidRPr="00EC6910" w:rsidRDefault="004B0C7B" w:rsidP="004B0C7B">
      <w:pPr>
        <w:spacing w:line="480" w:lineRule="auto"/>
        <w:jc w:val="center"/>
        <w:rPr>
          <w:rFonts w:ascii="Times New Roman" w:hAnsi="Times New Roman" w:cs="Times New Roman"/>
        </w:rPr>
      </w:pPr>
      <w:r w:rsidRPr="00EC6910">
        <w:rPr>
          <w:rFonts w:ascii="Times New Roman" w:hAnsi="Times New Roman" w:cs="Times New Roman"/>
        </w:rPr>
        <w:t>Department of English, Anoka Ramsey Community College</w:t>
      </w:r>
    </w:p>
    <w:p w14:paraId="384AC887" w14:textId="77777777" w:rsidR="004B0C7B" w:rsidRPr="00EC6910" w:rsidRDefault="004B0C7B" w:rsidP="004B0C7B">
      <w:pPr>
        <w:spacing w:line="480" w:lineRule="auto"/>
        <w:jc w:val="center"/>
        <w:rPr>
          <w:rFonts w:ascii="Times New Roman" w:hAnsi="Times New Roman" w:cs="Times New Roman"/>
        </w:rPr>
      </w:pPr>
      <w:r w:rsidRPr="00EC6910">
        <w:rPr>
          <w:rFonts w:ascii="Times New Roman" w:hAnsi="Times New Roman" w:cs="Times New Roman"/>
        </w:rPr>
        <w:t xml:space="preserve">English 1121: College Writing and Critical Reading </w:t>
      </w:r>
    </w:p>
    <w:p w14:paraId="27FBB877" w14:textId="77777777" w:rsidR="004B0C7B" w:rsidRPr="00EC6910" w:rsidRDefault="004B0C7B" w:rsidP="004B0C7B">
      <w:pPr>
        <w:spacing w:line="480" w:lineRule="auto"/>
        <w:jc w:val="center"/>
        <w:rPr>
          <w:rFonts w:ascii="Times New Roman" w:hAnsi="Times New Roman" w:cs="Times New Roman"/>
        </w:rPr>
      </w:pPr>
      <w:r w:rsidRPr="00EC6910">
        <w:rPr>
          <w:rFonts w:ascii="Times New Roman" w:hAnsi="Times New Roman" w:cs="Times New Roman"/>
        </w:rPr>
        <w:t>Prof. Chris McCarthy</w:t>
      </w:r>
    </w:p>
    <w:p w14:paraId="7EE06366" w14:textId="77777777" w:rsidR="004B0C7B" w:rsidRPr="00EC6910" w:rsidRDefault="004B0C7B" w:rsidP="004B0C7B">
      <w:pPr>
        <w:spacing w:line="480" w:lineRule="auto"/>
        <w:jc w:val="center"/>
        <w:rPr>
          <w:rFonts w:ascii="Times New Roman" w:hAnsi="Times New Roman" w:cs="Times New Roman"/>
        </w:rPr>
      </w:pPr>
    </w:p>
    <w:p w14:paraId="01524CC6" w14:textId="77777777" w:rsidR="004B0C7B" w:rsidRPr="00EC6910" w:rsidRDefault="004B0C7B" w:rsidP="004B0C7B">
      <w:pPr>
        <w:spacing w:line="480" w:lineRule="auto"/>
        <w:jc w:val="center"/>
        <w:rPr>
          <w:rFonts w:ascii="Times New Roman" w:hAnsi="Times New Roman" w:cs="Times New Roman"/>
        </w:rPr>
      </w:pPr>
    </w:p>
    <w:p w14:paraId="4D580033" w14:textId="77777777" w:rsidR="004B0C7B" w:rsidRPr="00EC6910" w:rsidRDefault="004B0C7B" w:rsidP="004B0C7B">
      <w:pPr>
        <w:spacing w:line="480" w:lineRule="auto"/>
        <w:jc w:val="center"/>
        <w:rPr>
          <w:rFonts w:ascii="Times New Roman" w:hAnsi="Times New Roman" w:cs="Times New Roman"/>
        </w:rPr>
      </w:pPr>
    </w:p>
    <w:p w14:paraId="440C8E2D" w14:textId="77777777" w:rsidR="004B0C7B" w:rsidRPr="00EC6910" w:rsidRDefault="004B0C7B" w:rsidP="004B0C7B">
      <w:pPr>
        <w:spacing w:line="480" w:lineRule="auto"/>
        <w:jc w:val="center"/>
        <w:rPr>
          <w:rFonts w:ascii="Times New Roman" w:hAnsi="Times New Roman" w:cs="Times New Roman"/>
        </w:rPr>
      </w:pPr>
    </w:p>
    <w:p w14:paraId="30B73DFF" w14:textId="77777777" w:rsidR="004B0C7B" w:rsidRPr="00EC6910" w:rsidRDefault="004B0C7B" w:rsidP="004B0C7B">
      <w:pPr>
        <w:spacing w:line="480" w:lineRule="auto"/>
        <w:jc w:val="center"/>
        <w:rPr>
          <w:rFonts w:ascii="Times New Roman" w:hAnsi="Times New Roman" w:cs="Times New Roman"/>
        </w:rPr>
      </w:pPr>
    </w:p>
    <w:p w14:paraId="00D23DD3" w14:textId="77777777" w:rsidR="004B0C7B" w:rsidRPr="00EC6910" w:rsidRDefault="004B0C7B" w:rsidP="004B0C7B">
      <w:pPr>
        <w:spacing w:line="480" w:lineRule="auto"/>
        <w:jc w:val="center"/>
        <w:rPr>
          <w:rFonts w:ascii="Times New Roman" w:hAnsi="Times New Roman" w:cs="Times New Roman"/>
        </w:rPr>
      </w:pPr>
    </w:p>
    <w:p w14:paraId="1C9A877E" w14:textId="77777777" w:rsidR="004B0C7B" w:rsidRPr="00EC6910" w:rsidRDefault="004B0C7B" w:rsidP="004B0C7B">
      <w:pPr>
        <w:spacing w:line="480" w:lineRule="auto"/>
        <w:rPr>
          <w:rFonts w:ascii="Times New Roman" w:hAnsi="Times New Roman" w:cs="Times New Roman"/>
        </w:rPr>
      </w:pPr>
    </w:p>
    <w:p w14:paraId="6F4CBD52" w14:textId="77777777" w:rsidR="004B0C7B" w:rsidRPr="00EC6910" w:rsidRDefault="004B0C7B" w:rsidP="004B0C7B">
      <w:pPr>
        <w:spacing w:line="480" w:lineRule="auto"/>
        <w:rPr>
          <w:rFonts w:ascii="Times New Roman" w:hAnsi="Times New Roman" w:cs="Times New Roman"/>
        </w:rPr>
      </w:pPr>
    </w:p>
    <w:p w14:paraId="6E07E23E" w14:textId="77777777" w:rsidR="004B0C7B" w:rsidRPr="00EC6910" w:rsidRDefault="004B0C7B" w:rsidP="004B0C7B">
      <w:pPr>
        <w:spacing w:line="480" w:lineRule="auto"/>
        <w:jc w:val="center"/>
        <w:rPr>
          <w:rFonts w:ascii="Times New Roman" w:hAnsi="Times New Roman" w:cs="Times New Roman"/>
          <w:b/>
          <w:bCs/>
        </w:rPr>
      </w:pPr>
      <w:r w:rsidRPr="00EC6910">
        <w:rPr>
          <w:rFonts w:ascii="Times New Roman" w:hAnsi="Times New Roman" w:cs="Times New Roman"/>
          <w:b/>
          <w:bCs/>
        </w:rPr>
        <w:lastRenderedPageBreak/>
        <w:t>Debunking “The Transgender Agenda”</w:t>
      </w:r>
    </w:p>
    <w:p w14:paraId="3F7F58E3" w14:textId="3F69644E" w:rsidR="004B0C7B" w:rsidRPr="00EC6910" w:rsidRDefault="004B0C7B" w:rsidP="004B0C7B">
      <w:pPr>
        <w:spacing w:line="480" w:lineRule="auto"/>
        <w:rPr>
          <w:rFonts w:ascii="Times New Roman" w:hAnsi="Times New Roman" w:cs="Times New Roman"/>
        </w:rPr>
      </w:pPr>
      <w:r w:rsidRPr="00EC6910">
        <w:rPr>
          <w:rFonts w:ascii="Times New Roman" w:hAnsi="Times New Roman" w:cs="Times New Roman"/>
        </w:rPr>
        <w:t xml:space="preserve"> </w:t>
      </w:r>
      <w:r w:rsidRPr="00EC6910">
        <w:rPr>
          <w:rFonts w:ascii="Times New Roman" w:hAnsi="Times New Roman" w:cs="Times New Roman"/>
        </w:rPr>
        <w:tab/>
        <w:t xml:space="preserve">“Wait, so what are you? I don’t understand.” As a nonbinary and transgender person, I am often met with confusion about my gender identity. There are many myths surrounding transgender and gender nonconforming people, spread by ignorance, misrepresentation in media, political fear, cultural or religious beliefs, and stigma. These myths </w:t>
      </w:r>
      <w:proofErr w:type="gramStart"/>
      <w:r w:rsidRPr="00EC6910">
        <w:rPr>
          <w:rFonts w:ascii="Times New Roman" w:hAnsi="Times New Roman" w:cs="Times New Roman"/>
        </w:rPr>
        <w:t>include:</w:t>
      </w:r>
      <w:proofErr w:type="gramEnd"/>
      <w:r w:rsidRPr="00EC6910">
        <w:rPr>
          <w:rFonts w:ascii="Times New Roman" w:hAnsi="Times New Roman" w:cs="Times New Roman"/>
        </w:rPr>
        <w:t xml:space="preserve"> being transgender or gender nonconforming is a mental illness, kids are too young to know if they are trans or gender nonconforming, social pressure or exposure to media can cause kids to become trans or gender nonconforming, you can “look” trans or gender nonconforming, and all transgender and gender nonconforming people are queer. However, many of these myths are exaggerations or untrue. Being transgender or gender nonconforming is a gender identity, not a mental illness. Kids forced into the gender associated with their sex may realize they are transgender or gender nonconforming even at a young age for many different reasons. Exposure to media is not “turning kids trans;” it is simply offering diverse perspectives from many people. There is no such thing as “looking trans or gender nonconforming” because everyone expresses themselves differently, including trans and gender nonconforming people. While many transgender and gender nonconforming people do identify as queer, gay, lesbian, bisexual, or other sexual orientations, there are straight transgender or gender nonconforming people. People often use these false arguments as ways to characterize trans and gender nonconforming people as deviant and strip them of their rights.  As a gender nonconforming person, it is important to debunk these myths and stand up for my own human rights.</w:t>
      </w:r>
    </w:p>
    <w:p w14:paraId="1381D9C1" w14:textId="1E7B548D" w:rsidR="004B0C7B" w:rsidRPr="00EC6910" w:rsidRDefault="004B0C7B" w:rsidP="004B0C7B">
      <w:pPr>
        <w:spacing w:line="480" w:lineRule="auto"/>
        <w:ind w:firstLine="360"/>
        <w:rPr>
          <w:rFonts w:ascii="Times New Roman" w:hAnsi="Times New Roman" w:cs="Times New Roman"/>
        </w:rPr>
      </w:pPr>
      <w:r w:rsidRPr="00EC6910">
        <w:rPr>
          <w:rFonts w:ascii="Times New Roman" w:hAnsi="Times New Roman" w:cs="Times New Roman"/>
        </w:rPr>
        <w:t xml:space="preserve">First, it is important to understand what it means to be transgender or gender nonconforming. According to the “Transgender and Non-Binary People FAQ” published by </w:t>
      </w:r>
      <w:r w:rsidRPr="00EC6910">
        <w:rPr>
          <w:rFonts w:ascii="Times New Roman" w:hAnsi="Times New Roman" w:cs="Times New Roman"/>
          <w:i/>
          <w:iCs/>
        </w:rPr>
        <w:t xml:space="preserve">The Human Rights Campaign Foundation </w:t>
      </w:r>
      <w:r w:rsidRPr="00EC6910">
        <w:rPr>
          <w:rFonts w:ascii="Times New Roman" w:hAnsi="Times New Roman" w:cs="Times New Roman"/>
        </w:rPr>
        <w:t xml:space="preserve">(2024), </w:t>
      </w:r>
      <w:r w:rsidR="002A6043" w:rsidRPr="00EC6910">
        <w:rPr>
          <w:rFonts w:ascii="Times New Roman" w:hAnsi="Times New Roman" w:cs="Times New Roman"/>
        </w:rPr>
        <w:t xml:space="preserve">“Gender identity refers to one’s innermost concept of self as a </w:t>
      </w:r>
      <w:r w:rsidR="002A6043" w:rsidRPr="00EC6910">
        <w:rPr>
          <w:rFonts w:ascii="Times New Roman" w:hAnsi="Times New Roman" w:cs="Times New Roman"/>
        </w:rPr>
        <w:lastRenderedPageBreak/>
        <w:t xml:space="preserve">man, a woman, a blend of both or neither – how individuals perceive themselves and what they call themselves. One's gender identity can be the same or different from their sex assigned at birth.” The article goes on to define what it means to be transgender, saying, </w:t>
      </w:r>
      <w:r w:rsidRPr="00EC6910">
        <w:rPr>
          <w:rFonts w:ascii="Times New Roman" w:hAnsi="Times New Roman" w:cs="Times New Roman"/>
        </w:rPr>
        <w:t xml:space="preserve">“Transgender, or trans, is an umbrella term for people whose gender identity is different from the sex assigned to them at birth.” Additionally, “Gender non-conforming is an umbrella term referring to people who do not identify and/or present in a way that conforms to the traditional expectations of their gender, or whose gender expression does not fit neatly into a category.” This means that some people that identify as trans also identify as gender nonconforming, but not all. I identify as nonbinary and </w:t>
      </w:r>
      <w:proofErr w:type="gramStart"/>
      <w:r w:rsidRPr="00EC6910">
        <w:rPr>
          <w:rFonts w:ascii="Times New Roman" w:hAnsi="Times New Roman" w:cs="Times New Roman"/>
        </w:rPr>
        <w:t>trans, and</w:t>
      </w:r>
      <w:proofErr w:type="gramEnd"/>
      <w:r w:rsidRPr="00EC6910">
        <w:rPr>
          <w:rFonts w:ascii="Times New Roman" w:hAnsi="Times New Roman" w:cs="Times New Roman"/>
        </w:rPr>
        <w:t xml:space="preserve"> use they/them pronouns. The term nonbinary falls under the umbrella of gender nonconforming, and I identify as trans also because I feel as though my gender identity now is different than what it was defined as from my birth. </w:t>
      </w:r>
    </w:p>
    <w:p w14:paraId="778B7A0E" w14:textId="77BB30E9" w:rsidR="004B0C7B" w:rsidRPr="00EC6910" w:rsidRDefault="004B0C7B" w:rsidP="004B0C7B">
      <w:pPr>
        <w:spacing w:line="480" w:lineRule="auto"/>
        <w:ind w:firstLine="360"/>
        <w:rPr>
          <w:rFonts w:ascii="Times New Roman" w:hAnsi="Times New Roman" w:cs="Times New Roman"/>
        </w:rPr>
      </w:pPr>
      <w:r w:rsidRPr="00EC6910">
        <w:rPr>
          <w:rFonts w:ascii="Times New Roman" w:hAnsi="Times New Roman" w:cs="Times New Roman"/>
        </w:rPr>
        <w:t xml:space="preserve">Historically, transgender and gender nonconforming people were believed to be mentally ill. However, this myth has been debunked. According to the article “Gender Dysphoria Diagnosis” published by the </w:t>
      </w:r>
      <w:r w:rsidRPr="00EC6910">
        <w:rPr>
          <w:rFonts w:ascii="Times New Roman" w:hAnsi="Times New Roman" w:cs="Times New Roman"/>
          <w:i/>
          <w:iCs/>
        </w:rPr>
        <w:t>American Psychiatric Association</w:t>
      </w:r>
      <w:r w:rsidRPr="00EC6910">
        <w:rPr>
          <w:rFonts w:ascii="Times New Roman" w:hAnsi="Times New Roman" w:cs="Times New Roman"/>
        </w:rPr>
        <w:t xml:space="preserve"> (2017), “The presence of gender variance is not the </w:t>
      </w:r>
      <w:proofErr w:type="gramStart"/>
      <w:r w:rsidRPr="00EC6910">
        <w:rPr>
          <w:rFonts w:ascii="Times New Roman" w:hAnsi="Times New Roman" w:cs="Times New Roman"/>
        </w:rPr>
        <w:t>pathology</w:t>
      </w:r>
      <w:proofErr w:type="gramEnd"/>
      <w:r w:rsidRPr="00EC6910">
        <w:rPr>
          <w:rFonts w:ascii="Times New Roman" w:hAnsi="Times New Roman" w:cs="Times New Roman"/>
        </w:rPr>
        <w:t xml:space="preserve"> but dysphoria is from the distress caused by the body and mind not aligning and/or societal marginalization of gender-variant people.” The article also explains how in 2013, The Diagnostic and Statistical Manual of Mental Illnesses was edited to </w:t>
      </w:r>
      <w:proofErr w:type="gramStart"/>
      <w:r w:rsidRPr="00EC6910">
        <w:rPr>
          <w:rFonts w:ascii="Times New Roman" w:hAnsi="Times New Roman" w:cs="Times New Roman"/>
        </w:rPr>
        <w:t>say</w:t>
      </w:r>
      <w:proofErr w:type="gramEnd"/>
      <w:r w:rsidRPr="00EC6910">
        <w:rPr>
          <w:rFonts w:ascii="Times New Roman" w:hAnsi="Times New Roman" w:cs="Times New Roman"/>
        </w:rPr>
        <w:t xml:space="preserve"> “gender dysphoria” instead of “gender identity disorder.” I find this myth particularly interesting because the opposite is true: being transgender and gender nonconforming is linked with poor mental health. In the article “The Social Costs of Gender Nonconformity for Transgender Adults: Implications for Discrimination and Health” published in </w:t>
      </w:r>
      <w:r w:rsidRPr="00EC6910">
        <w:rPr>
          <w:rFonts w:ascii="Times New Roman" w:hAnsi="Times New Roman" w:cs="Times New Roman"/>
          <w:i/>
          <w:iCs/>
        </w:rPr>
        <w:t>Sociological Forum</w:t>
      </w:r>
      <w:r w:rsidRPr="00EC6910">
        <w:rPr>
          <w:rFonts w:ascii="Times New Roman" w:hAnsi="Times New Roman" w:cs="Times New Roman"/>
        </w:rPr>
        <w:t xml:space="preserve"> (2015), author Lisa Miller argues that in Western culture, there is little space in society for gender nonconforming people. Because of this, many gender nonconforming and transgender people face discrimination, and </w:t>
      </w:r>
      <w:r w:rsidRPr="00EC6910">
        <w:rPr>
          <w:rFonts w:ascii="Times New Roman" w:hAnsi="Times New Roman" w:cs="Times New Roman"/>
        </w:rPr>
        <w:lastRenderedPageBreak/>
        <w:t xml:space="preserve">have higher rates of health harming behaviors. Or, as </w:t>
      </w:r>
      <w:r w:rsidRPr="00EC6910">
        <w:rPr>
          <w:rFonts w:ascii="Times New Roman" w:hAnsi="Times New Roman" w:cs="Times New Roman"/>
          <w:i/>
          <w:iCs/>
        </w:rPr>
        <w:t>The Association for Behavioral and Cognitive Therapies</w:t>
      </w:r>
      <w:r w:rsidRPr="00EC6910">
        <w:rPr>
          <w:rFonts w:ascii="Times New Roman" w:hAnsi="Times New Roman" w:cs="Times New Roman"/>
        </w:rPr>
        <w:t xml:space="preserve"> puts it in the article “Transgender and Gender Nonconforming Youth” (2021), “Identifying as TGNC [transgender gender nonconforming] is not a psychological disorder…However, people who identify as TGNC can experience significant distress associated with the incongruence between their gender and their sex assigned at birth…called Gender Dysphoria, which is currently listed in the Diagnostic and Statistical Manual of Mental Disorders-5 by the American Psychiatric Association.” This shows that being transgender or gender nonconforming is not a mental </w:t>
      </w:r>
      <w:proofErr w:type="gramStart"/>
      <w:r w:rsidRPr="00EC6910">
        <w:rPr>
          <w:rFonts w:ascii="Times New Roman" w:hAnsi="Times New Roman" w:cs="Times New Roman"/>
        </w:rPr>
        <w:t>illness, but</w:t>
      </w:r>
      <w:proofErr w:type="gramEnd"/>
      <w:r w:rsidRPr="00EC6910">
        <w:rPr>
          <w:rFonts w:ascii="Times New Roman" w:hAnsi="Times New Roman" w:cs="Times New Roman"/>
        </w:rPr>
        <w:t xml:space="preserve"> linked with mental health issues.</w:t>
      </w:r>
      <w:r w:rsidR="00A0041F" w:rsidRPr="00EC6910">
        <w:rPr>
          <w:rFonts w:ascii="Times New Roman" w:hAnsi="Times New Roman" w:cs="Times New Roman"/>
        </w:rPr>
        <w:t xml:space="preserve"> </w:t>
      </w:r>
      <w:proofErr w:type="gramStart"/>
      <w:r w:rsidR="00A0041F" w:rsidRPr="00EC6910">
        <w:rPr>
          <w:rFonts w:ascii="Times New Roman" w:hAnsi="Times New Roman" w:cs="Times New Roman"/>
        </w:rPr>
        <w:t>Often times</w:t>
      </w:r>
      <w:proofErr w:type="gramEnd"/>
      <w:r w:rsidR="00A0041F" w:rsidRPr="00EC6910">
        <w:rPr>
          <w:rFonts w:ascii="Times New Roman" w:hAnsi="Times New Roman" w:cs="Times New Roman"/>
        </w:rPr>
        <w:t xml:space="preserve">, these mental health issues surface because trans and gender nonconforming people are marginalized by the society in which we live. Those who characterize trans and gender nonconforming </w:t>
      </w:r>
      <w:proofErr w:type="gramStart"/>
      <w:r w:rsidR="00A0041F" w:rsidRPr="00EC6910">
        <w:rPr>
          <w:rFonts w:ascii="Times New Roman" w:hAnsi="Times New Roman" w:cs="Times New Roman"/>
        </w:rPr>
        <w:t>people  as</w:t>
      </w:r>
      <w:proofErr w:type="gramEnd"/>
      <w:r w:rsidR="00A0041F" w:rsidRPr="00EC6910">
        <w:rPr>
          <w:rFonts w:ascii="Times New Roman" w:hAnsi="Times New Roman" w:cs="Times New Roman"/>
        </w:rPr>
        <w:t xml:space="preserve"> mentally ill are in fact a cause of the mental health issues that trans and gender nonconforming people experience. </w:t>
      </w:r>
    </w:p>
    <w:p w14:paraId="29A331FF" w14:textId="77777777" w:rsidR="002A6043" w:rsidRPr="00EC6910" w:rsidRDefault="004B0C7B" w:rsidP="004B0C7B">
      <w:pPr>
        <w:spacing w:line="480" w:lineRule="auto"/>
        <w:ind w:firstLine="360"/>
        <w:rPr>
          <w:rFonts w:ascii="Times New Roman" w:hAnsi="Times New Roman" w:cs="Times New Roman"/>
        </w:rPr>
      </w:pPr>
      <w:r w:rsidRPr="00EC6910">
        <w:rPr>
          <w:rFonts w:ascii="Times New Roman" w:hAnsi="Times New Roman" w:cs="Times New Roman"/>
        </w:rPr>
        <w:t>Another common myth is that kids are too young to know if they are trans and gender nonconforming. According to “The transgender handbook: A guide for transgender people, their families and professionals,</w:t>
      </w:r>
      <w:r w:rsidR="002A6043" w:rsidRPr="00EC6910">
        <w:rPr>
          <w:rFonts w:ascii="Times New Roman" w:hAnsi="Times New Roman" w:cs="Times New Roman"/>
        </w:rPr>
        <w:t>”</w:t>
      </w:r>
      <w:r w:rsidRPr="00EC6910">
        <w:rPr>
          <w:rFonts w:ascii="Times New Roman" w:hAnsi="Times New Roman" w:cs="Times New Roman"/>
        </w:rPr>
        <w:t xml:space="preserve"> Bouman and Arcelus </w:t>
      </w:r>
      <w:r w:rsidR="002A6043" w:rsidRPr="00EC6910">
        <w:rPr>
          <w:rFonts w:ascii="Times New Roman" w:hAnsi="Times New Roman" w:cs="Times New Roman"/>
        </w:rPr>
        <w:t xml:space="preserve">(2017) </w:t>
      </w:r>
      <w:r w:rsidRPr="00EC6910">
        <w:rPr>
          <w:rFonts w:ascii="Times New Roman" w:hAnsi="Times New Roman" w:cs="Times New Roman"/>
        </w:rPr>
        <w:t>write</w:t>
      </w:r>
      <w:r w:rsidR="002A6043" w:rsidRPr="00EC6910">
        <w:rPr>
          <w:rFonts w:ascii="Times New Roman" w:hAnsi="Times New Roman" w:cs="Times New Roman"/>
        </w:rPr>
        <w:t>:</w:t>
      </w:r>
    </w:p>
    <w:p w14:paraId="73ACDD1A" w14:textId="63504B7C" w:rsidR="002A6043" w:rsidRPr="00EC6910" w:rsidRDefault="004B0C7B" w:rsidP="00A0041F">
      <w:pPr>
        <w:spacing w:line="480" w:lineRule="auto"/>
        <w:ind w:left="720"/>
        <w:rPr>
          <w:rFonts w:ascii="Times New Roman" w:hAnsi="Times New Roman" w:cs="Times New Roman"/>
        </w:rPr>
      </w:pPr>
      <w:r w:rsidRPr="00EC6910">
        <w:rPr>
          <w:rFonts w:ascii="Times New Roman" w:hAnsi="Times New Roman" w:cs="Times New Roman"/>
        </w:rPr>
        <w:t xml:space="preserve">Transgender adolescents present…in </w:t>
      </w:r>
      <w:proofErr w:type="gramStart"/>
      <w:r w:rsidRPr="00EC6910">
        <w:rPr>
          <w:rFonts w:ascii="Times New Roman" w:hAnsi="Times New Roman" w:cs="Times New Roman"/>
        </w:rPr>
        <w:t>many different ways</w:t>
      </w:r>
      <w:proofErr w:type="gramEnd"/>
      <w:r w:rsidRPr="00EC6910">
        <w:rPr>
          <w:rFonts w:ascii="Times New Roman" w:hAnsi="Times New Roman" w:cs="Times New Roman"/>
        </w:rPr>
        <w:t>. Whereas some have gender non-conforming or gender variant behaviour as soon as they can talk and express their toy and clothing preferences, others come out as transgender only after puberty starts and physical discomfort develops</w:t>
      </w:r>
      <w:proofErr w:type="gramStart"/>
      <w:r w:rsidRPr="00EC6910">
        <w:rPr>
          <w:rFonts w:ascii="Times New Roman" w:hAnsi="Times New Roman" w:cs="Times New Roman"/>
        </w:rPr>
        <w:t>….What</w:t>
      </w:r>
      <w:proofErr w:type="gramEnd"/>
      <w:r w:rsidRPr="00EC6910">
        <w:rPr>
          <w:rFonts w:ascii="Times New Roman" w:hAnsi="Times New Roman" w:cs="Times New Roman"/>
        </w:rPr>
        <w:t xml:space="preserve"> they all share is a deep discomfort or confusion stemming from the incongruence between their experienced gender and their birth assigned gender…</w:t>
      </w:r>
    </w:p>
    <w:p w14:paraId="3CD66D16" w14:textId="47D8C016" w:rsidR="004B0C7B" w:rsidRPr="00EC6910" w:rsidRDefault="004B0C7B" w:rsidP="002A6043">
      <w:pPr>
        <w:spacing w:line="480" w:lineRule="auto"/>
        <w:rPr>
          <w:rFonts w:ascii="Times New Roman" w:hAnsi="Times New Roman" w:cs="Times New Roman"/>
        </w:rPr>
      </w:pPr>
      <w:r w:rsidRPr="00EC6910">
        <w:rPr>
          <w:rFonts w:ascii="Times New Roman" w:hAnsi="Times New Roman" w:cs="Times New Roman"/>
        </w:rPr>
        <w:t xml:space="preserve">This shows that children are not too young to acknowledge feelings of gender dysphoria or gender identities different from those that were forced on them at birth in accordance with their </w:t>
      </w:r>
      <w:r w:rsidRPr="00EC6910">
        <w:rPr>
          <w:rFonts w:ascii="Times New Roman" w:hAnsi="Times New Roman" w:cs="Times New Roman"/>
        </w:rPr>
        <w:lastRenderedPageBreak/>
        <w:t xml:space="preserve">sex. This myth of children being “too young” to know their identity is untrue. I came out as </w:t>
      </w:r>
      <w:proofErr w:type="gramStart"/>
      <w:r w:rsidRPr="00EC6910">
        <w:rPr>
          <w:rFonts w:ascii="Times New Roman" w:hAnsi="Times New Roman" w:cs="Times New Roman"/>
        </w:rPr>
        <w:t>nonbinary</w:t>
      </w:r>
      <w:proofErr w:type="gramEnd"/>
      <w:r w:rsidRPr="00EC6910">
        <w:rPr>
          <w:rFonts w:ascii="Times New Roman" w:hAnsi="Times New Roman" w:cs="Times New Roman"/>
        </w:rPr>
        <w:t xml:space="preserve"> at the age of </w:t>
      </w:r>
      <w:r w:rsidR="002A6043" w:rsidRPr="00EC6910">
        <w:rPr>
          <w:rFonts w:ascii="Times New Roman" w:hAnsi="Times New Roman" w:cs="Times New Roman"/>
        </w:rPr>
        <w:t>fourteen</w:t>
      </w:r>
      <w:r w:rsidRPr="00EC6910">
        <w:rPr>
          <w:rFonts w:ascii="Times New Roman" w:hAnsi="Times New Roman" w:cs="Times New Roman"/>
        </w:rPr>
        <w:t xml:space="preserve">, which is considered a child by most. However, I was precisely aware of my identity and had been for several years before coming out. I did not act rashly and come out to my friends and family before I was ready because I wanted to be perceived as very serious and true. </w:t>
      </w:r>
      <w:r w:rsidR="002A6043" w:rsidRPr="00EC6910">
        <w:rPr>
          <w:rFonts w:ascii="Times New Roman" w:hAnsi="Times New Roman" w:cs="Times New Roman"/>
        </w:rPr>
        <w:t>Even</w:t>
      </w:r>
      <w:r w:rsidRPr="00EC6910">
        <w:rPr>
          <w:rFonts w:ascii="Times New Roman" w:hAnsi="Times New Roman" w:cs="Times New Roman"/>
        </w:rPr>
        <w:t xml:space="preserve"> at </w:t>
      </w:r>
      <w:r w:rsidR="002A6043" w:rsidRPr="00EC6910">
        <w:rPr>
          <w:rFonts w:ascii="Times New Roman" w:hAnsi="Times New Roman" w:cs="Times New Roman"/>
        </w:rPr>
        <w:t>fourteen</w:t>
      </w:r>
      <w:r w:rsidRPr="00EC6910">
        <w:rPr>
          <w:rFonts w:ascii="Times New Roman" w:hAnsi="Times New Roman" w:cs="Times New Roman"/>
        </w:rPr>
        <w:t xml:space="preserve">, I knew that I needed to be sure of my identity before coming out. </w:t>
      </w:r>
    </w:p>
    <w:p w14:paraId="0923C488" w14:textId="618FDBEC" w:rsidR="004B0C7B" w:rsidRPr="00EC6910" w:rsidRDefault="004B0C7B" w:rsidP="004B0C7B">
      <w:pPr>
        <w:spacing w:line="480" w:lineRule="auto"/>
        <w:ind w:firstLine="360"/>
        <w:rPr>
          <w:rFonts w:ascii="Times New Roman" w:hAnsi="Times New Roman" w:cs="Times New Roman"/>
        </w:rPr>
      </w:pPr>
      <w:r w:rsidRPr="00EC6910">
        <w:rPr>
          <w:rFonts w:ascii="Times New Roman" w:hAnsi="Times New Roman" w:cs="Times New Roman"/>
        </w:rPr>
        <w:t>Another myth is that social pressure or exposure to media can cause kids to become trans or gender nonconforming. This has come up frequently recently and is connected to politics. This is most prevalent in the enormous amount of book bans that have recently become politically popular. Books have been banned from school libraries due to fears that representations of trans</w:t>
      </w:r>
      <w:r w:rsidRPr="00EC6910">
        <w:rPr>
          <w:rFonts w:ascii="Times New Roman" w:hAnsi="Times New Roman" w:cs="Times New Roman"/>
          <w:highlight w:val="yellow"/>
        </w:rPr>
        <w:t xml:space="preserve"> </w:t>
      </w:r>
      <w:r w:rsidRPr="00EC6910">
        <w:rPr>
          <w:rFonts w:ascii="Times New Roman" w:hAnsi="Times New Roman" w:cs="Times New Roman"/>
        </w:rPr>
        <w:t>people will “turn kids trans”.</w:t>
      </w:r>
      <w:r w:rsidR="006753AB" w:rsidRPr="00EC6910">
        <w:rPr>
          <w:rFonts w:ascii="Times New Roman" w:hAnsi="Times New Roman" w:cs="Times New Roman"/>
        </w:rPr>
        <w:t xml:space="preserve"> According to Lisa Tolin, in the article “Frequently Banned Books Featuring Transgender Stories” (2023), “In national efforts to ban books and restrict content with LGBTQ+ characters and themes, stories featuring transgender individuals and characters are commonly challenged and banned, making up about 9% of banned books.” While this </w:t>
      </w:r>
      <w:r w:rsidR="00F12260" w:rsidRPr="00EC6910">
        <w:rPr>
          <w:rFonts w:ascii="Times New Roman" w:hAnsi="Times New Roman" w:cs="Times New Roman"/>
        </w:rPr>
        <w:t xml:space="preserve">statistic may </w:t>
      </w:r>
      <w:r w:rsidR="006753AB" w:rsidRPr="00EC6910">
        <w:rPr>
          <w:rFonts w:ascii="Times New Roman" w:hAnsi="Times New Roman" w:cs="Times New Roman"/>
        </w:rPr>
        <w:t xml:space="preserve">not seem significant, considering the small </w:t>
      </w:r>
      <w:r w:rsidR="00F12260" w:rsidRPr="00EC6910">
        <w:rPr>
          <w:rFonts w:ascii="Times New Roman" w:hAnsi="Times New Roman" w:cs="Times New Roman"/>
        </w:rPr>
        <w:t>number</w:t>
      </w:r>
      <w:r w:rsidR="006753AB" w:rsidRPr="00EC6910">
        <w:rPr>
          <w:rFonts w:ascii="Times New Roman" w:hAnsi="Times New Roman" w:cs="Times New Roman"/>
        </w:rPr>
        <w:t xml:space="preserve"> of books with gender expansive characters this is large portion of </w:t>
      </w:r>
      <w:r w:rsidR="00F12260" w:rsidRPr="00EC6910">
        <w:rPr>
          <w:rFonts w:ascii="Times New Roman" w:hAnsi="Times New Roman" w:cs="Times New Roman"/>
        </w:rPr>
        <w:t>trans and gender nonconforming</w:t>
      </w:r>
      <w:r w:rsidR="006753AB" w:rsidRPr="00EC6910">
        <w:rPr>
          <w:rFonts w:ascii="Times New Roman" w:hAnsi="Times New Roman" w:cs="Times New Roman"/>
        </w:rPr>
        <w:t xml:space="preserve"> stories. </w:t>
      </w:r>
      <w:r w:rsidRPr="00EC6910">
        <w:rPr>
          <w:rFonts w:ascii="Times New Roman" w:hAnsi="Times New Roman" w:cs="Times New Roman"/>
        </w:rPr>
        <w:t xml:space="preserve">This is a very controversial issue, with some seemingly credible sources using false information to promote political ideas. However, this is a case of correlation not causation. Both access to books displaying diverse stories and the number of transgender and gender nonconforming people are rising, but this does not mean that these two variables are connected. With more inclusive media portrayal and access to media, perhaps more people are reading content about transgender or gender nonconforming individuals. But simply reading content does not make kids want to become it. In the article “LGBTQ Book Bans are on the Rise. Here’s Why” published in </w:t>
      </w:r>
      <w:r w:rsidRPr="00EC6910">
        <w:rPr>
          <w:rFonts w:ascii="Times New Roman" w:hAnsi="Times New Roman" w:cs="Times New Roman"/>
          <w:i/>
          <w:iCs/>
        </w:rPr>
        <w:t xml:space="preserve">The </w:t>
      </w:r>
      <w:r w:rsidRPr="00EC6910">
        <w:rPr>
          <w:rFonts w:ascii="Times New Roman" w:hAnsi="Times New Roman" w:cs="Times New Roman"/>
          <w:i/>
          <w:iCs/>
        </w:rPr>
        <w:lastRenderedPageBreak/>
        <w:t>Harvard Gazette</w:t>
      </w:r>
      <w:r w:rsidRPr="00EC6910">
        <w:rPr>
          <w:rFonts w:ascii="Times New Roman" w:hAnsi="Times New Roman" w:cs="Times New Roman"/>
        </w:rPr>
        <w:t xml:space="preserve">, Samantha Perfas quotes Michael Bronski, Professor of the Practice in Media and Activism in Studies of Women, Gender, and Sexuality. Bronski says, “We’ve had enormous progress [for LGBTQ rights…These book bans…are really a last-ditch effort, almost magical thinking, to stop this push.” This shows that the problem is not that reading books causes kids to become transgender or </w:t>
      </w:r>
      <w:proofErr w:type="gramStart"/>
      <w:r w:rsidRPr="00EC6910">
        <w:rPr>
          <w:rFonts w:ascii="Times New Roman" w:hAnsi="Times New Roman" w:cs="Times New Roman"/>
        </w:rPr>
        <w:t>gender nonconforming, but</w:t>
      </w:r>
      <w:proofErr w:type="gramEnd"/>
      <w:r w:rsidRPr="00EC6910">
        <w:rPr>
          <w:rFonts w:ascii="Times New Roman" w:hAnsi="Times New Roman" w:cs="Times New Roman"/>
        </w:rPr>
        <w:t xml:space="preserve"> rather bans are a push back on rights and a way to control the visibility of trans people in society. </w:t>
      </w:r>
    </w:p>
    <w:p w14:paraId="3C373939" w14:textId="77777777" w:rsidR="004B0C7B" w:rsidRPr="00EC6910" w:rsidRDefault="004B0C7B" w:rsidP="004B0C7B">
      <w:pPr>
        <w:spacing w:line="480" w:lineRule="auto"/>
        <w:ind w:firstLine="360"/>
        <w:rPr>
          <w:rFonts w:ascii="Times New Roman" w:hAnsi="Times New Roman" w:cs="Times New Roman"/>
        </w:rPr>
      </w:pPr>
      <w:r w:rsidRPr="00EC6910">
        <w:rPr>
          <w:rFonts w:ascii="Times New Roman" w:hAnsi="Times New Roman" w:cs="Times New Roman"/>
        </w:rPr>
        <w:t xml:space="preserve">Some believe the myth that you can tell that someone is trans or gender nonconforming because they “look that way”. The fact is, there is no such thing as “looking trans” or “looking gender nonconforming”. In the article “Sexual Orientation and Gender Identity Definitions” (2022), published by </w:t>
      </w:r>
      <w:r w:rsidRPr="00EC6910">
        <w:rPr>
          <w:rFonts w:ascii="Times New Roman" w:hAnsi="Times New Roman" w:cs="Times New Roman"/>
          <w:i/>
          <w:iCs/>
        </w:rPr>
        <w:t>The Human Rights Campaign</w:t>
      </w:r>
      <w:r w:rsidRPr="00EC6910">
        <w:rPr>
          <w:rFonts w:ascii="Times New Roman" w:hAnsi="Times New Roman" w:cs="Times New Roman"/>
        </w:rPr>
        <w:t xml:space="preserve">, gender expression is defined as “External appearance of one's gender identity, usually expressed through behavior, clothing, body characteristics or voice, and which may or may not conform to socially defined behaviors and characteristics typically associated with being either masculine or feminine.” While gender expression may fall within the typical standards of dressing “feminine,” “masculine,” or “androgynous,” you cannot assume a person’s gender identity based on their gender expression. As Christina </w:t>
      </w:r>
      <w:proofErr w:type="gramStart"/>
      <w:r w:rsidRPr="00EC6910">
        <w:rPr>
          <w:rFonts w:ascii="Times New Roman" w:hAnsi="Times New Roman" w:cs="Times New Roman"/>
        </w:rPr>
        <w:t>Xiao  puts</w:t>
      </w:r>
      <w:proofErr w:type="gramEnd"/>
      <w:r w:rsidRPr="00EC6910">
        <w:rPr>
          <w:rFonts w:ascii="Times New Roman" w:hAnsi="Times New Roman" w:cs="Times New Roman"/>
        </w:rPr>
        <w:t xml:space="preserve"> it in the article “Nonbinary People Don’t Want to Owe Androgyny, But We Do It to Survive”, published in </w:t>
      </w:r>
      <w:r w:rsidRPr="00EC6910">
        <w:rPr>
          <w:rFonts w:ascii="Times New Roman" w:hAnsi="Times New Roman" w:cs="Times New Roman"/>
          <w:i/>
          <w:iCs/>
        </w:rPr>
        <w:t>The Harvard Crimson</w:t>
      </w:r>
      <w:r w:rsidRPr="00EC6910">
        <w:rPr>
          <w:rFonts w:ascii="Times New Roman" w:hAnsi="Times New Roman" w:cs="Times New Roman"/>
        </w:rPr>
        <w:t xml:space="preserve"> (2022), “There is a gap between self-defined identity, which describes how one internally identifies, and other-imposed identity, which refers to how they are externally perceived.” This means that the way all people are perceived in the world is not necessarily representative of their gender identity. Assuming a person’s gender identity based on how they look is not fair to them, as you cannot know their story or identity simply by sight.</w:t>
      </w:r>
    </w:p>
    <w:p w14:paraId="2D9B12CE" w14:textId="77777777" w:rsidR="004B0C7B" w:rsidRPr="00EC6910" w:rsidRDefault="004B0C7B" w:rsidP="004B0C7B">
      <w:pPr>
        <w:spacing w:line="480" w:lineRule="auto"/>
        <w:ind w:firstLine="360"/>
        <w:rPr>
          <w:rFonts w:ascii="Times New Roman" w:hAnsi="Times New Roman" w:cs="Times New Roman"/>
        </w:rPr>
      </w:pPr>
      <w:r w:rsidRPr="00EC6910">
        <w:rPr>
          <w:rFonts w:ascii="Times New Roman" w:hAnsi="Times New Roman" w:cs="Times New Roman"/>
        </w:rPr>
        <w:lastRenderedPageBreak/>
        <w:t xml:space="preserve">Another myth is that being trans or gender nonconforming means that you are also queer. However, this is not the case. According to “Sexual Orientation and Gender Diversity” published by </w:t>
      </w:r>
      <w:r w:rsidRPr="00EC6910">
        <w:rPr>
          <w:rFonts w:ascii="Times New Roman" w:hAnsi="Times New Roman" w:cs="Times New Roman"/>
          <w:i/>
          <w:iCs/>
        </w:rPr>
        <w:t xml:space="preserve">The American Phycological Association </w:t>
      </w:r>
      <w:r w:rsidRPr="00EC6910">
        <w:rPr>
          <w:rFonts w:ascii="Times New Roman" w:hAnsi="Times New Roman" w:cs="Times New Roman"/>
        </w:rPr>
        <w:t xml:space="preserve">(2021), “Sexual orientation and gender identity are not the same thing—they are distinct aspects of being a person.” Furthermore, the article defines sexual orientation as “…an </w:t>
      </w:r>
      <w:proofErr w:type="gramStart"/>
      <w:r w:rsidRPr="00EC6910">
        <w:rPr>
          <w:rFonts w:ascii="Times New Roman" w:hAnsi="Times New Roman" w:cs="Times New Roman"/>
        </w:rPr>
        <w:t>often enduring</w:t>
      </w:r>
      <w:proofErr w:type="gramEnd"/>
      <w:r w:rsidRPr="00EC6910">
        <w:rPr>
          <w:rFonts w:ascii="Times New Roman" w:hAnsi="Times New Roman" w:cs="Times New Roman"/>
        </w:rPr>
        <w:t xml:space="preserve"> pattern of emotional, romantic, and/or sexual attractions to men, women, or both. It also refers to an individual’s sense of personal and social identity based on those attractions…” While it is true, according to the article “Sexual orientation in transgender adults in the United States” (2023) published in </w:t>
      </w:r>
      <w:r w:rsidRPr="00EC6910">
        <w:rPr>
          <w:rFonts w:ascii="Times New Roman" w:hAnsi="Times New Roman" w:cs="Times New Roman"/>
          <w:i/>
          <w:iCs/>
        </w:rPr>
        <w:t>BMC Public Health</w:t>
      </w:r>
      <w:r w:rsidRPr="00EC6910">
        <w:rPr>
          <w:rFonts w:ascii="Times New Roman" w:hAnsi="Times New Roman" w:cs="Times New Roman"/>
        </w:rPr>
        <w:t xml:space="preserve"> by Sari Reisner, that there is a lower percentage of straight transgender and gender nonconforming individuals than cisgender people, that does not mean that all gender nonconforming people are queer, gay, lesbian, bisexual, or other inclusive sexual orientations. </w:t>
      </w:r>
    </w:p>
    <w:p w14:paraId="312D2D2C" w14:textId="3F960B92" w:rsidR="004B0C7B" w:rsidRPr="00EC6910" w:rsidRDefault="004B0C7B" w:rsidP="004B0C7B">
      <w:pPr>
        <w:spacing w:line="480" w:lineRule="auto"/>
        <w:ind w:firstLine="360"/>
        <w:rPr>
          <w:rFonts w:ascii="Times New Roman" w:hAnsi="Times New Roman" w:cs="Times New Roman"/>
        </w:rPr>
      </w:pPr>
      <w:r w:rsidRPr="00EC6910">
        <w:rPr>
          <w:rFonts w:ascii="Times New Roman" w:hAnsi="Times New Roman" w:cs="Times New Roman"/>
        </w:rPr>
        <w:t>Here, I have just touched on a few myths surrounding transgender and gender nonconforming people. I was surprised</w:t>
      </w:r>
      <w:r w:rsidR="00F42BA6" w:rsidRPr="00EC6910">
        <w:rPr>
          <w:rFonts w:ascii="Times New Roman" w:hAnsi="Times New Roman" w:cs="Times New Roman"/>
        </w:rPr>
        <w:t xml:space="preserve"> and disheartened</w:t>
      </w:r>
      <w:r w:rsidRPr="00EC6910">
        <w:rPr>
          <w:rFonts w:ascii="Times New Roman" w:hAnsi="Times New Roman" w:cs="Times New Roman"/>
        </w:rPr>
        <w:t xml:space="preserve"> while writing and researching just how many myths I found, and I struggled to focus on just the myths that I was addressing. </w:t>
      </w:r>
      <w:r w:rsidR="00F42BA6" w:rsidRPr="00EC6910">
        <w:rPr>
          <w:rFonts w:ascii="Times New Roman" w:hAnsi="Times New Roman" w:cs="Times New Roman"/>
        </w:rPr>
        <w:t xml:space="preserve">I </w:t>
      </w:r>
      <w:proofErr w:type="gramStart"/>
      <w:r w:rsidR="00F42BA6" w:rsidRPr="00EC6910">
        <w:rPr>
          <w:rFonts w:ascii="Times New Roman" w:hAnsi="Times New Roman" w:cs="Times New Roman"/>
        </w:rPr>
        <w:t>would need</w:t>
      </w:r>
      <w:proofErr w:type="gramEnd"/>
      <w:r w:rsidR="00F42BA6" w:rsidRPr="00EC6910">
        <w:rPr>
          <w:rFonts w:ascii="Times New Roman" w:hAnsi="Times New Roman" w:cs="Times New Roman"/>
        </w:rPr>
        <w:t xml:space="preserve"> to write a book to address them all. This made me wonder: Why do </w:t>
      </w:r>
      <w:proofErr w:type="gramStart"/>
      <w:r w:rsidR="00F42BA6" w:rsidRPr="00EC6910">
        <w:rPr>
          <w:rFonts w:ascii="Times New Roman" w:hAnsi="Times New Roman" w:cs="Times New Roman"/>
        </w:rPr>
        <w:t>all of</w:t>
      </w:r>
      <w:proofErr w:type="gramEnd"/>
      <w:r w:rsidR="00F42BA6" w:rsidRPr="00EC6910">
        <w:rPr>
          <w:rFonts w:ascii="Times New Roman" w:hAnsi="Times New Roman" w:cs="Times New Roman"/>
        </w:rPr>
        <w:t xml:space="preserve"> these myths exist? Why is the trans and gender nonconforming community so misunderstood? I believe that r</w:t>
      </w:r>
      <w:r w:rsidRPr="00EC6910">
        <w:rPr>
          <w:rFonts w:ascii="Times New Roman" w:hAnsi="Times New Roman" w:cs="Times New Roman"/>
        </w:rPr>
        <w:t xml:space="preserve">ather than trying to get to know this community and put these myths to rest, many politicians are using these myths as political tools to divide. Instead of promoting understanding, they promote fear and polarization to gain political power. It takes empathy and openness to get to know diverse people, but I believe the truth is worth it. </w:t>
      </w:r>
      <w:r w:rsidR="00F42BA6" w:rsidRPr="00EC6910">
        <w:rPr>
          <w:rFonts w:ascii="Times New Roman" w:hAnsi="Times New Roman" w:cs="Times New Roman"/>
        </w:rPr>
        <w:t xml:space="preserve">I want to </w:t>
      </w:r>
      <w:proofErr w:type="gramStart"/>
      <w:r w:rsidR="00F42BA6" w:rsidRPr="00EC6910">
        <w:rPr>
          <w:rFonts w:ascii="Times New Roman" w:hAnsi="Times New Roman" w:cs="Times New Roman"/>
        </w:rPr>
        <w:t>be known</w:t>
      </w:r>
      <w:proofErr w:type="gramEnd"/>
      <w:r w:rsidR="00F42BA6" w:rsidRPr="00EC6910">
        <w:rPr>
          <w:rFonts w:ascii="Times New Roman" w:hAnsi="Times New Roman" w:cs="Times New Roman"/>
        </w:rPr>
        <w:t xml:space="preserve"> and </w:t>
      </w:r>
      <w:proofErr w:type="gramStart"/>
      <w:r w:rsidR="00F42BA6" w:rsidRPr="00EC6910">
        <w:rPr>
          <w:rFonts w:ascii="Times New Roman" w:hAnsi="Times New Roman" w:cs="Times New Roman"/>
        </w:rPr>
        <w:t>seen for</w:t>
      </w:r>
      <w:proofErr w:type="gramEnd"/>
      <w:r w:rsidR="00F42BA6" w:rsidRPr="00EC6910">
        <w:rPr>
          <w:rFonts w:ascii="Times New Roman" w:hAnsi="Times New Roman" w:cs="Times New Roman"/>
        </w:rPr>
        <w:t xml:space="preserve"> who I am. I refuse to be marginalized and live in fear. </w:t>
      </w:r>
      <w:r w:rsidRPr="00EC6910">
        <w:rPr>
          <w:rFonts w:ascii="Times New Roman" w:hAnsi="Times New Roman" w:cs="Times New Roman"/>
        </w:rPr>
        <w:br w:type="page"/>
      </w:r>
    </w:p>
    <w:p w14:paraId="2D2ABDA3" w14:textId="77777777" w:rsidR="004B0C7B" w:rsidRPr="00EC6910" w:rsidRDefault="004B0C7B" w:rsidP="004B0C7B">
      <w:pPr>
        <w:spacing w:line="480" w:lineRule="auto"/>
        <w:jc w:val="center"/>
        <w:rPr>
          <w:rFonts w:ascii="Times New Roman" w:hAnsi="Times New Roman" w:cs="Times New Roman"/>
          <w:b/>
          <w:bCs/>
        </w:rPr>
      </w:pPr>
      <w:r w:rsidRPr="00EC6910">
        <w:rPr>
          <w:rFonts w:ascii="Times New Roman" w:hAnsi="Times New Roman" w:cs="Times New Roman"/>
          <w:b/>
          <w:bCs/>
        </w:rPr>
        <w:lastRenderedPageBreak/>
        <w:t>References</w:t>
      </w:r>
    </w:p>
    <w:p w14:paraId="5BB9E916" w14:textId="77777777" w:rsidR="004B0C7B" w:rsidRPr="00EC6910" w:rsidRDefault="004B0C7B" w:rsidP="004B0C7B">
      <w:pPr>
        <w:spacing w:line="480" w:lineRule="auto"/>
        <w:ind w:left="720" w:hanging="720"/>
        <w:rPr>
          <w:rFonts w:ascii="Times New Roman" w:hAnsi="Times New Roman" w:cs="Times New Roman"/>
        </w:rPr>
      </w:pPr>
      <w:r w:rsidRPr="00EC6910">
        <w:rPr>
          <w:rFonts w:ascii="Times New Roman" w:hAnsi="Times New Roman" w:cs="Times New Roman"/>
        </w:rPr>
        <w:t xml:space="preserve">American Psychiatric Association. (2017, November). </w:t>
      </w:r>
      <w:r w:rsidRPr="00EC6910">
        <w:rPr>
          <w:rFonts w:ascii="Times New Roman" w:hAnsi="Times New Roman" w:cs="Times New Roman"/>
          <w:i/>
          <w:iCs/>
        </w:rPr>
        <w:t>Gender Dysphoria Diagnosis</w:t>
      </w:r>
      <w:r w:rsidRPr="00EC6910">
        <w:rPr>
          <w:rFonts w:ascii="Times New Roman" w:hAnsi="Times New Roman" w:cs="Times New Roman"/>
        </w:rPr>
        <w:t>. Psychiatry.org. https://www.psychiatry.org/psychiatrists/diversity/education/transgender-and-gender-nonconforming-patients/gender-dysphoria-diagnosis</w:t>
      </w:r>
    </w:p>
    <w:p w14:paraId="062FC6CA" w14:textId="77777777" w:rsidR="004B0C7B" w:rsidRPr="00EC6910" w:rsidRDefault="004B0C7B" w:rsidP="004B0C7B">
      <w:pPr>
        <w:spacing w:line="480" w:lineRule="auto"/>
        <w:ind w:left="720" w:hanging="720"/>
        <w:rPr>
          <w:rFonts w:ascii="Times New Roman" w:hAnsi="Times New Roman" w:cs="Times New Roman"/>
        </w:rPr>
      </w:pPr>
      <w:r w:rsidRPr="00EC6910">
        <w:rPr>
          <w:rFonts w:ascii="Times New Roman" w:hAnsi="Times New Roman" w:cs="Times New Roman"/>
        </w:rPr>
        <w:t xml:space="preserve">American Psychological Association. (2021). </w:t>
      </w:r>
      <w:r w:rsidRPr="00EC6910">
        <w:rPr>
          <w:rFonts w:ascii="Times New Roman" w:hAnsi="Times New Roman" w:cs="Times New Roman"/>
          <w:i/>
          <w:iCs/>
        </w:rPr>
        <w:t>Sexual Orientation and Gender Diversity</w:t>
      </w:r>
      <w:r w:rsidRPr="00EC6910">
        <w:rPr>
          <w:rFonts w:ascii="Times New Roman" w:hAnsi="Times New Roman" w:cs="Times New Roman"/>
        </w:rPr>
        <w:t>. Apa.org. https://www.apa.org/topics/lgbtq</w:t>
      </w:r>
    </w:p>
    <w:p w14:paraId="71E9E608" w14:textId="77777777" w:rsidR="004B0C7B" w:rsidRPr="00EC6910" w:rsidRDefault="004B0C7B" w:rsidP="004B0C7B">
      <w:pPr>
        <w:spacing w:line="480" w:lineRule="auto"/>
        <w:ind w:left="720" w:hanging="720"/>
        <w:rPr>
          <w:rFonts w:ascii="Times New Roman" w:hAnsi="Times New Roman" w:cs="Times New Roman"/>
        </w:rPr>
      </w:pPr>
      <w:r w:rsidRPr="00EC6910">
        <w:rPr>
          <w:rFonts w:ascii="Times New Roman" w:hAnsi="Times New Roman" w:cs="Times New Roman"/>
        </w:rPr>
        <w:t xml:space="preserve">Bouman, W. P., &amp; Arcelus, J. (2017). </w:t>
      </w:r>
      <w:r w:rsidRPr="00EC6910">
        <w:rPr>
          <w:rFonts w:ascii="Times New Roman" w:hAnsi="Times New Roman" w:cs="Times New Roman"/>
          <w:i/>
          <w:iCs/>
        </w:rPr>
        <w:t>The transgender handbook: A guide for transgender people, their families and professionals</w:t>
      </w:r>
      <w:r w:rsidRPr="00EC6910">
        <w:rPr>
          <w:rFonts w:ascii="Times New Roman" w:hAnsi="Times New Roman" w:cs="Times New Roman"/>
        </w:rPr>
        <w:t>. Nova Science Publishers.</w:t>
      </w:r>
    </w:p>
    <w:p w14:paraId="352AB904" w14:textId="77777777" w:rsidR="004B0C7B" w:rsidRPr="00EC6910" w:rsidRDefault="004B0C7B" w:rsidP="004B0C7B">
      <w:pPr>
        <w:spacing w:line="480" w:lineRule="auto"/>
        <w:ind w:left="720" w:hanging="720"/>
        <w:rPr>
          <w:rFonts w:ascii="Times New Roman" w:hAnsi="Times New Roman" w:cs="Times New Roman"/>
        </w:rPr>
      </w:pPr>
      <w:r w:rsidRPr="00EC6910">
        <w:rPr>
          <w:rFonts w:ascii="Times New Roman" w:hAnsi="Times New Roman" w:cs="Times New Roman"/>
        </w:rPr>
        <w:t xml:space="preserve">Human Rights Campaign Foundation. (2024, April 26). </w:t>
      </w:r>
      <w:r w:rsidRPr="00EC6910">
        <w:rPr>
          <w:rFonts w:ascii="Times New Roman" w:hAnsi="Times New Roman" w:cs="Times New Roman"/>
          <w:i/>
          <w:iCs/>
        </w:rPr>
        <w:t>Transgender and Non-Binary People FAQ</w:t>
      </w:r>
      <w:r w:rsidRPr="00EC6910">
        <w:rPr>
          <w:rFonts w:ascii="Times New Roman" w:hAnsi="Times New Roman" w:cs="Times New Roman"/>
        </w:rPr>
        <w:t>. HRC. https://www.hrc.org/resources/transgender-and-non-binary-faq</w:t>
      </w:r>
    </w:p>
    <w:p w14:paraId="4308AEE3" w14:textId="77777777" w:rsidR="004B0C7B" w:rsidRPr="00EC6910" w:rsidRDefault="004B0C7B" w:rsidP="004B0C7B">
      <w:pPr>
        <w:spacing w:line="480" w:lineRule="auto"/>
        <w:ind w:left="720" w:hanging="720"/>
        <w:rPr>
          <w:rFonts w:ascii="Times New Roman" w:hAnsi="Times New Roman" w:cs="Times New Roman"/>
        </w:rPr>
      </w:pPr>
      <w:r w:rsidRPr="00EC6910">
        <w:rPr>
          <w:rFonts w:ascii="Times New Roman" w:hAnsi="Times New Roman" w:cs="Times New Roman"/>
        </w:rPr>
        <w:t xml:space="preserve">Human Rights Campaign. (2022). </w:t>
      </w:r>
      <w:r w:rsidRPr="00EC6910">
        <w:rPr>
          <w:rFonts w:ascii="Times New Roman" w:hAnsi="Times New Roman" w:cs="Times New Roman"/>
          <w:i/>
          <w:iCs/>
        </w:rPr>
        <w:t>Sexual orientation and gender identity definitions</w:t>
      </w:r>
      <w:r w:rsidRPr="00EC6910">
        <w:rPr>
          <w:rFonts w:ascii="Times New Roman" w:hAnsi="Times New Roman" w:cs="Times New Roman"/>
        </w:rPr>
        <w:t>. Human Rights Campaign. https://www.hrc.org/resources/sexual-orientation-and-gender-identity-terminology-and-definitions</w:t>
      </w:r>
    </w:p>
    <w:p w14:paraId="3F2A0B8A" w14:textId="77777777" w:rsidR="004B0C7B" w:rsidRPr="00EC6910" w:rsidRDefault="004B0C7B" w:rsidP="004B0C7B">
      <w:pPr>
        <w:spacing w:line="480" w:lineRule="auto"/>
        <w:ind w:left="720" w:hanging="720"/>
        <w:rPr>
          <w:rFonts w:ascii="Times New Roman" w:hAnsi="Times New Roman" w:cs="Times New Roman"/>
        </w:rPr>
      </w:pPr>
      <w:r w:rsidRPr="00EC6910">
        <w:rPr>
          <w:rFonts w:ascii="Times New Roman" w:hAnsi="Times New Roman" w:cs="Times New Roman"/>
        </w:rPr>
        <w:t xml:space="preserve">Miller, L. R., &amp; Grollman, E. A. (2015). The Social Costs of Gender Nonconformity for Transgender Adults: Implications for Discrimination and Health. </w:t>
      </w:r>
      <w:r w:rsidRPr="00EC6910">
        <w:rPr>
          <w:rFonts w:ascii="Times New Roman" w:hAnsi="Times New Roman" w:cs="Times New Roman"/>
          <w:i/>
          <w:iCs/>
        </w:rPr>
        <w:t>Sociological Forum</w:t>
      </w:r>
      <w:r w:rsidRPr="00EC6910">
        <w:rPr>
          <w:rFonts w:ascii="Times New Roman" w:hAnsi="Times New Roman" w:cs="Times New Roman"/>
        </w:rPr>
        <w:t xml:space="preserve">, </w:t>
      </w:r>
      <w:r w:rsidRPr="00EC6910">
        <w:rPr>
          <w:rFonts w:ascii="Times New Roman" w:hAnsi="Times New Roman" w:cs="Times New Roman"/>
          <w:i/>
          <w:iCs/>
        </w:rPr>
        <w:t>30</w:t>
      </w:r>
      <w:r w:rsidRPr="00EC6910">
        <w:rPr>
          <w:rFonts w:ascii="Times New Roman" w:hAnsi="Times New Roman" w:cs="Times New Roman"/>
        </w:rPr>
        <w:t>(3), 809–831. https://doi.org/10.1111/socf.12193</w:t>
      </w:r>
    </w:p>
    <w:p w14:paraId="4B097523" w14:textId="77777777" w:rsidR="004B0C7B" w:rsidRPr="00EC6910" w:rsidRDefault="004B0C7B" w:rsidP="004B0C7B">
      <w:pPr>
        <w:spacing w:line="480" w:lineRule="auto"/>
        <w:ind w:left="720" w:hanging="720"/>
        <w:rPr>
          <w:rFonts w:ascii="Times New Roman" w:hAnsi="Times New Roman" w:cs="Times New Roman"/>
        </w:rPr>
      </w:pPr>
      <w:r w:rsidRPr="00EC6910">
        <w:rPr>
          <w:rFonts w:ascii="Times New Roman" w:hAnsi="Times New Roman" w:cs="Times New Roman"/>
        </w:rPr>
        <w:t xml:space="preserve">Perfas, S. (2023, June 28). </w:t>
      </w:r>
      <w:r w:rsidRPr="00EC6910">
        <w:rPr>
          <w:rFonts w:ascii="Times New Roman" w:hAnsi="Times New Roman" w:cs="Times New Roman"/>
          <w:i/>
          <w:iCs/>
        </w:rPr>
        <w:t>LGBTQ book challenges are on the rise. Here’s why.</w:t>
      </w:r>
      <w:r w:rsidRPr="00EC6910">
        <w:rPr>
          <w:rFonts w:ascii="Times New Roman" w:hAnsi="Times New Roman" w:cs="Times New Roman"/>
        </w:rPr>
        <w:t xml:space="preserve"> Harvard Gazette. https://news.harvard.edu/gazette/story/2023/06/lgbtq-book-challenges-are-on-the-rise-heres-why/</w:t>
      </w:r>
    </w:p>
    <w:p w14:paraId="44DFAEE9" w14:textId="77777777" w:rsidR="004B0C7B" w:rsidRPr="00EC6910" w:rsidRDefault="004B0C7B" w:rsidP="004B0C7B">
      <w:pPr>
        <w:spacing w:line="480" w:lineRule="auto"/>
        <w:ind w:left="720" w:hanging="720"/>
        <w:rPr>
          <w:rFonts w:ascii="Times New Roman" w:hAnsi="Times New Roman" w:cs="Times New Roman"/>
        </w:rPr>
      </w:pPr>
      <w:r w:rsidRPr="00EC6910">
        <w:rPr>
          <w:rFonts w:ascii="Times New Roman" w:hAnsi="Times New Roman" w:cs="Times New Roman"/>
        </w:rPr>
        <w:lastRenderedPageBreak/>
        <w:t xml:space="preserve">Reisner, S. L., Choi, S. K., Herman, J. L., Bockting, W., Krueger, E. A., &amp; Meyer, I. H. (2023). Sexual orientation in transgender adults in the United States. </w:t>
      </w:r>
      <w:r w:rsidRPr="00EC6910">
        <w:rPr>
          <w:rFonts w:ascii="Times New Roman" w:hAnsi="Times New Roman" w:cs="Times New Roman"/>
          <w:i/>
          <w:iCs/>
        </w:rPr>
        <w:t>BMC Public Health</w:t>
      </w:r>
      <w:r w:rsidRPr="00EC6910">
        <w:rPr>
          <w:rFonts w:ascii="Times New Roman" w:hAnsi="Times New Roman" w:cs="Times New Roman"/>
        </w:rPr>
        <w:t xml:space="preserve">, </w:t>
      </w:r>
      <w:r w:rsidRPr="00EC6910">
        <w:rPr>
          <w:rFonts w:ascii="Times New Roman" w:hAnsi="Times New Roman" w:cs="Times New Roman"/>
          <w:i/>
          <w:iCs/>
        </w:rPr>
        <w:t>23</w:t>
      </w:r>
      <w:r w:rsidRPr="00EC6910">
        <w:rPr>
          <w:rFonts w:ascii="Times New Roman" w:hAnsi="Times New Roman" w:cs="Times New Roman"/>
        </w:rPr>
        <w:t>(1), 1799. https://doi.org/10.1186/s12889-023-16654-z</w:t>
      </w:r>
    </w:p>
    <w:p w14:paraId="06D4A7A2" w14:textId="11C8DEB7" w:rsidR="006753AB" w:rsidRPr="00EC6910" w:rsidRDefault="006753AB" w:rsidP="006753AB">
      <w:pPr>
        <w:spacing w:line="480" w:lineRule="auto"/>
        <w:ind w:left="720" w:hanging="720"/>
        <w:rPr>
          <w:rFonts w:ascii="Times New Roman" w:hAnsi="Times New Roman" w:cs="Times New Roman"/>
        </w:rPr>
      </w:pPr>
      <w:r w:rsidRPr="00EC6910">
        <w:rPr>
          <w:rFonts w:ascii="Times New Roman" w:hAnsi="Times New Roman" w:cs="Times New Roman"/>
        </w:rPr>
        <w:t xml:space="preserve">Tolin, Lisa. “Frequently Banned Books Featuring Transgender Stories.” </w:t>
      </w:r>
      <w:r w:rsidRPr="00EC6910">
        <w:rPr>
          <w:rFonts w:ascii="Times New Roman" w:hAnsi="Times New Roman" w:cs="Times New Roman"/>
          <w:i/>
          <w:iCs/>
        </w:rPr>
        <w:t>PEN America</w:t>
      </w:r>
      <w:r w:rsidRPr="00EC6910">
        <w:rPr>
          <w:rFonts w:ascii="Times New Roman" w:hAnsi="Times New Roman" w:cs="Times New Roman"/>
        </w:rPr>
        <w:t>, 30 Mar. 2023, pen.org/banned-books-transgender-stories/.</w:t>
      </w:r>
    </w:p>
    <w:p w14:paraId="5445E966" w14:textId="77777777" w:rsidR="004B0C7B" w:rsidRPr="00EC6910" w:rsidRDefault="004B0C7B" w:rsidP="004B0C7B">
      <w:pPr>
        <w:spacing w:line="480" w:lineRule="auto"/>
        <w:ind w:left="720" w:hanging="720"/>
        <w:rPr>
          <w:rFonts w:ascii="Times New Roman" w:hAnsi="Times New Roman" w:cs="Times New Roman"/>
        </w:rPr>
      </w:pPr>
      <w:r w:rsidRPr="00EC6910">
        <w:rPr>
          <w:rFonts w:ascii="Times New Roman" w:hAnsi="Times New Roman" w:cs="Times New Roman"/>
        </w:rPr>
        <w:t xml:space="preserve">Wall, D. (2021, March 11). </w:t>
      </w:r>
      <w:r w:rsidRPr="00EC6910">
        <w:rPr>
          <w:rFonts w:ascii="Times New Roman" w:hAnsi="Times New Roman" w:cs="Times New Roman"/>
          <w:i/>
          <w:iCs/>
        </w:rPr>
        <w:t>Transgender and Gender Nonconforming Youth | Fact Sheet - ABCT - Association for Behavioral and Cognitive Therapies</w:t>
      </w:r>
      <w:r w:rsidRPr="00EC6910">
        <w:rPr>
          <w:rFonts w:ascii="Times New Roman" w:hAnsi="Times New Roman" w:cs="Times New Roman"/>
        </w:rPr>
        <w:t>. ABCT - Association for Behavioral and Cognitive Therapies. https://www.abct.org/fact-sheets/transgender-and-gender-nonconforming-youth/</w:t>
      </w:r>
    </w:p>
    <w:p w14:paraId="1917D635" w14:textId="77777777" w:rsidR="004B0C7B" w:rsidRPr="00EC6910" w:rsidRDefault="004B0C7B" w:rsidP="004B0C7B">
      <w:pPr>
        <w:spacing w:line="480" w:lineRule="auto"/>
        <w:ind w:left="720" w:hanging="720"/>
        <w:rPr>
          <w:rFonts w:ascii="Times New Roman" w:hAnsi="Times New Roman" w:cs="Times New Roman"/>
        </w:rPr>
      </w:pPr>
      <w:r w:rsidRPr="00EC6910">
        <w:rPr>
          <w:rFonts w:ascii="Times New Roman" w:hAnsi="Times New Roman" w:cs="Times New Roman"/>
        </w:rPr>
        <w:t xml:space="preserve">Xiao, C. (2022, October 5). </w:t>
      </w:r>
      <w:r w:rsidRPr="00EC6910">
        <w:rPr>
          <w:rFonts w:ascii="Times New Roman" w:hAnsi="Times New Roman" w:cs="Times New Roman"/>
          <w:i/>
          <w:iCs/>
        </w:rPr>
        <w:t>Nonbinary People Don’t Want to Owe Androgyny, But We Do It to Survive | Opinion | The Harvard Crimson</w:t>
      </w:r>
      <w:r w:rsidRPr="00EC6910">
        <w:rPr>
          <w:rFonts w:ascii="Times New Roman" w:hAnsi="Times New Roman" w:cs="Times New Roman"/>
        </w:rPr>
        <w:t>. Www.thecrimson.com. https://www.thecrimson.com/article/2022/10/5/xiao-nonbinary-androgyny/</w:t>
      </w:r>
    </w:p>
    <w:p w14:paraId="4281752A" w14:textId="77777777" w:rsidR="004B0C7B" w:rsidRPr="00EC6910" w:rsidRDefault="004B0C7B" w:rsidP="004B0C7B">
      <w:pPr>
        <w:spacing w:line="480" w:lineRule="auto"/>
        <w:rPr>
          <w:rFonts w:ascii="Times New Roman" w:hAnsi="Times New Roman" w:cs="Times New Roman"/>
        </w:rPr>
      </w:pPr>
    </w:p>
    <w:p w14:paraId="7B7891CA" w14:textId="77777777" w:rsidR="004B0C7B" w:rsidRPr="00EC6910" w:rsidRDefault="004B0C7B" w:rsidP="004B0C7B">
      <w:pPr>
        <w:spacing w:line="480" w:lineRule="auto"/>
        <w:rPr>
          <w:rFonts w:ascii="Times New Roman" w:hAnsi="Times New Roman" w:cs="Times New Roman"/>
        </w:rPr>
      </w:pPr>
    </w:p>
    <w:p w14:paraId="75D78E2F" w14:textId="77777777" w:rsidR="004B0C7B" w:rsidRPr="00EC6910" w:rsidRDefault="004B0C7B" w:rsidP="004B0C7B"/>
    <w:sectPr w:rsidR="004B0C7B" w:rsidRPr="00EC6910">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4C1076" w14:textId="77777777" w:rsidR="00F12260" w:rsidRDefault="00F12260" w:rsidP="00F12260">
      <w:pPr>
        <w:spacing w:after="0" w:line="240" w:lineRule="auto"/>
      </w:pPr>
      <w:r>
        <w:separator/>
      </w:r>
    </w:p>
  </w:endnote>
  <w:endnote w:type="continuationSeparator" w:id="0">
    <w:p w14:paraId="3FFDAF7D" w14:textId="77777777" w:rsidR="00F12260" w:rsidRDefault="00F12260" w:rsidP="00F122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7D66E4" w14:textId="77777777" w:rsidR="00F12260" w:rsidRDefault="00F12260" w:rsidP="00F12260">
      <w:pPr>
        <w:spacing w:after="0" w:line="240" w:lineRule="auto"/>
      </w:pPr>
      <w:r>
        <w:separator/>
      </w:r>
    </w:p>
  </w:footnote>
  <w:footnote w:type="continuationSeparator" w:id="0">
    <w:p w14:paraId="7878251A" w14:textId="77777777" w:rsidR="00F12260" w:rsidRDefault="00F12260" w:rsidP="00F122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962086007"/>
      <w:docPartObj>
        <w:docPartGallery w:val="Page Numbers (Top of Page)"/>
        <w:docPartUnique/>
      </w:docPartObj>
    </w:sdtPr>
    <w:sdtEndPr>
      <w:rPr>
        <w:noProof/>
      </w:rPr>
    </w:sdtEndPr>
    <w:sdtContent>
      <w:p w14:paraId="2D958FB9" w14:textId="60BBB8C7" w:rsidR="00F12260" w:rsidRPr="00F12260" w:rsidRDefault="00F12260">
        <w:pPr>
          <w:pStyle w:val="Header"/>
          <w:jc w:val="right"/>
          <w:rPr>
            <w:rFonts w:ascii="Times New Roman" w:hAnsi="Times New Roman" w:cs="Times New Roman"/>
          </w:rPr>
        </w:pPr>
        <w:r w:rsidRPr="00F12260">
          <w:rPr>
            <w:rFonts w:ascii="Times New Roman" w:hAnsi="Times New Roman" w:cs="Times New Roman"/>
          </w:rPr>
          <w:fldChar w:fldCharType="begin"/>
        </w:r>
        <w:r w:rsidRPr="00F12260">
          <w:rPr>
            <w:rFonts w:ascii="Times New Roman" w:hAnsi="Times New Roman" w:cs="Times New Roman"/>
          </w:rPr>
          <w:instrText xml:space="preserve"> PAGE   \* MERGEFORMAT </w:instrText>
        </w:r>
        <w:r w:rsidRPr="00F12260">
          <w:rPr>
            <w:rFonts w:ascii="Times New Roman" w:hAnsi="Times New Roman" w:cs="Times New Roman"/>
          </w:rPr>
          <w:fldChar w:fldCharType="separate"/>
        </w:r>
        <w:r w:rsidRPr="00F12260">
          <w:rPr>
            <w:rFonts w:ascii="Times New Roman" w:hAnsi="Times New Roman" w:cs="Times New Roman"/>
            <w:noProof/>
          </w:rPr>
          <w:t>2</w:t>
        </w:r>
        <w:r w:rsidRPr="00F12260">
          <w:rPr>
            <w:rFonts w:ascii="Times New Roman" w:hAnsi="Times New Roman" w:cs="Times New Roman"/>
            <w:noProof/>
          </w:rPr>
          <w:fldChar w:fldCharType="end"/>
        </w:r>
      </w:p>
    </w:sdtContent>
  </w:sdt>
  <w:p w14:paraId="1F864AC9" w14:textId="77777777" w:rsidR="00F12260" w:rsidRPr="00F12260" w:rsidRDefault="00F12260">
    <w:pPr>
      <w:pStyle w:val="Header"/>
      <w:rPr>
        <w:rFonts w:ascii="Times New Roman" w:hAnsi="Times New Roman" w:cs="Times New Roma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0C7B"/>
    <w:rsid w:val="00124B10"/>
    <w:rsid w:val="002A6043"/>
    <w:rsid w:val="004B0C7B"/>
    <w:rsid w:val="006753AB"/>
    <w:rsid w:val="00A0041F"/>
    <w:rsid w:val="00E57487"/>
    <w:rsid w:val="00EC6910"/>
    <w:rsid w:val="00F12260"/>
    <w:rsid w:val="00F42B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1EDA65"/>
  <w15:chartTrackingRefBased/>
  <w15:docId w15:val="{88FF21FF-38A1-4BAA-94C1-B13E9CEE7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0C7B"/>
  </w:style>
  <w:style w:type="paragraph" w:styleId="Heading1">
    <w:name w:val="heading 1"/>
    <w:basedOn w:val="Normal"/>
    <w:next w:val="Normal"/>
    <w:link w:val="Heading1Char"/>
    <w:uiPriority w:val="9"/>
    <w:qFormat/>
    <w:rsid w:val="004B0C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B0C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B0C7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B0C7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B0C7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B0C7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B0C7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B0C7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B0C7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0C7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B0C7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B0C7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B0C7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B0C7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B0C7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0C7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0C7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0C7B"/>
    <w:rPr>
      <w:rFonts w:eastAsiaTheme="majorEastAsia" w:cstheme="majorBidi"/>
      <w:color w:val="272727" w:themeColor="text1" w:themeTint="D8"/>
    </w:rPr>
  </w:style>
  <w:style w:type="paragraph" w:styleId="Title">
    <w:name w:val="Title"/>
    <w:basedOn w:val="Normal"/>
    <w:next w:val="Normal"/>
    <w:link w:val="TitleChar"/>
    <w:uiPriority w:val="10"/>
    <w:qFormat/>
    <w:rsid w:val="004B0C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0C7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0C7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0C7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0C7B"/>
    <w:pPr>
      <w:spacing w:before="160"/>
      <w:jc w:val="center"/>
    </w:pPr>
    <w:rPr>
      <w:i/>
      <w:iCs/>
      <w:color w:val="404040" w:themeColor="text1" w:themeTint="BF"/>
    </w:rPr>
  </w:style>
  <w:style w:type="character" w:customStyle="1" w:styleId="QuoteChar">
    <w:name w:val="Quote Char"/>
    <w:basedOn w:val="DefaultParagraphFont"/>
    <w:link w:val="Quote"/>
    <w:uiPriority w:val="29"/>
    <w:rsid w:val="004B0C7B"/>
    <w:rPr>
      <w:i/>
      <w:iCs/>
      <w:color w:val="404040" w:themeColor="text1" w:themeTint="BF"/>
    </w:rPr>
  </w:style>
  <w:style w:type="paragraph" w:styleId="ListParagraph">
    <w:name w:val="List Paragraph"/>
    <w:basedOn w:val="Normal"/>
    <w:uiPriority w:val="34"/>
    <w:qFormat/>
    <w:rsid w:val="004B0C7B"/>
    <w:pPr>
      <w:ind w:left="720"/>
      <w:contextualSpacing/>
    </w:pPr>
  </w:style>
  <w:style w:type="character" w:styleId="IntenseEmphasis">
    <w:name w:val="Intense Emphasis"/>
    <w:basedOn w:val="DefaultParagraphFont"/>
    <w:uiPriority w:val="21"/>
    <w:qFormat/>
    <w:rsid w:val="004B0C7B"/>
    <w:rPr>
      <w:i/>
      <w:iCs/>
      <w:color w:val="0F4761" w:themeColor="accent1" w:themeShade="BF"/>
    </w:rPr>
  </w:style>
  <w:style w:type="paragraph" w:styleId="IntenseQuote">
    <w:name w:val="Intense Quote"/>
    <w:basedOn w:val="Normal"/>
    <w:next w:val="Normal"/>
    <w:link w:val="IntenseQuoteChar"/>
    <w:uiPriority w:val="30"/>
    <w:qFormat/>
    <w:rsid w:val="004B0C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B0C7B"/>
    <w:rPr>
      <w:i/>
      <w:iCs/>
      <w:color w:val="0F4761" w:themeColor="accent1" w:themeShade="BF"/>
    </w:rPr>
  </w:style>
  <w:style w:type="character" w:styleId="IntenseReference">
    <w:name w:val="Intense Reference"/>
    <w:basedOn w:val="DefaultParagraphFont"/>
    <w:uiPriority w:val="32"/>
    <w:qFormat/>
    <w:rsid w:val="004B0C7B"/>
    <w:rPr>
      <w:b/>
      <w:bCs/>
      <w:smallCaps/>
      <w:color w:val="0F4761" w:themeColor="accent1" w:themeShade="BF"/>
      <w:spacing w:val="5"/>
    </w:rPr>
  </w:style>
  <w:style w:type="character" w:styleId="Hyperlink">
    <w:name w:val="Hyperlink"/>
    <w:basedOn w:val="DefaultParagraphFont"/>
    <w:uiPriority w:val="99"/>
    <w:unhideWhenUsed/>
    <w:rsid w:val="006753AB"/>
    <w:rPr>
      <w:color w:val="467886" w:themeColor="hyperlink"/>
      <w:u w:val="single"/>
    </w:rPr>
  </w:style>
  <w:style w:type="character" w:styleId="UnresolvedMention">
    <w:name w:val="Unresolved Mention"/>
    <w:basedOn w:val="DefaultParagraphFont"/>
    <w:uiPriority w:val="99"/>
    <w:semiHidden/>
    <w:unhideWhenUsed/>
    <w:rsid w:val="006753AB"/>
    <w:rPr>
      <w:color w:val="605E5C"/>
      <w:shd w:val="clear" w:color="auto" w:fill="E1DFDD"/>
    </w:rPr>
  </w:style>
  <w:style w:type="paragraph" w:styleId="Header">
    <w:name w:val="header"/>
    <w:basedOn w:val="Normal"/>
    <w:link w:val="HeaderChar"/>
    <w:uiPriority w:val="99"/>
    <w:unhideWhenUsed/>
    <w:rsid w:val="00F122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2260"/>
  </w:style>
  <w:style w:type="paragraph" w:styleId="Footer">
    <w:name w:val="footer"/>
    <w:basedOn w:val="Normal"/>
    <w:link w:val="FooterChar"/>
    <w:uiPriority w:val="99"/>
    <w:unhideWhenUsed/>
    <w:rsid w:val="00F122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22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998961">
      <w:bodyDiv w:val="1"/>
      <w:marLeft w:val="0"/>
      <w:marRight w:val="0"/>
      <w:marTop w:val="0"/>
      <w:marBottom w:val="0"/>
      <w:divBdr>
        <w:top w:val="none" w:sz="0" w:space="0" w:color="auto"/>
        <w:left w:val="none" w:sz="0" w:space="0" w:color="auto"/>
        <w:bottom w:val="none" w:sz="0" w:space="0" w:color="auto"/>
        <w:right w:val="none" w:sz="0" w:space="0" w:color="auto"/>
      </w:divBdr>
    </w:div>
    <w:div w:id="257911576">
      <w:bodyDiv w:val="1"/>
      <w:marLeft w:val="0"/>
      <w:marRight w:val="0"/>
      <w:marTop w:val="0"/>
      <w:marBottom w:val="0"/>
      <w:divBdr>
        <w:top w:val="none" w:sz="0" w:space="0" w:color="auto"/>
        <w:left w:val="none" w:sz="0" w:space="0" w:color="auto"/>
        <w:bottom w:val="none" w:sz="0" w:space="0" w:color="auto"/>
        <w:right w:val="none" w:sz="0" w:space="0" w:color="auto"/>
      </w:divBdr>
    </w:div>
    <w:div w:id="467015298">
      <w:bodyDiv w:val="1"/>
      <w:marLeft w:val="0"/>
      <w:marRight w:val="0"/>
      <w:marTop w:val="0"/>
      <w:marBottom w:val="0"/>
      <w:divBdr>
        <w:top w:val="none" w:sz="0" w:space="0" w:color="auto"/>
        <w:left w:val="none" w:sz="0" w:space="0" w:color="auto"/>
        <w:bottom w:val="none" w:sz="0" w:space="0" w:color="auto"/>
        <w:right w:val="none" w:sz="0" w:space="0" w:color="auto"/>
      </w:divBdr>
    </w:div>
    <w:div w:id="520510859">
      <w:bodyDiv w:val="1"/>
      <w:marLeft w:val="0"/>
      <w:marRight w:val="0"/>
      <w:marTop w:val="0"/>
      <w:marBottom w:val="0"/>
      <w:divBdr>
        <w:top w:val="none" w:sz="0" w:space="0" w:color="auto"/>
        <w:left w:val="none" w:sz="0" w:space="0" w:color="auto"/>
        <w:bottom w:val="none" w:sz="0" w:space="0" w:color="auto"/>
        <w:right w:val="none" w:sz="0" w:space="0" w:color="auto"/>
      </w:divBdr>
    </w:div>
    <w:div w:id="847016899">
      <w:bodyDiv w:val="1"/>
      <w:marLeft w:val="0"/>
      <w:marRight w:val="0"/>
      <w:marTop w:val="0"/>
      <w:marBottom w:val="0"/>
      <w:divBdr>
        <w:top w:val="none" w:sz="0" w:space="0" w:color="auto"/>
        <w:left w:val="none" w:sz="0" w:space="0" w:color="auto"/>
        <w:bottom w:val="none" w:sz="0" w:space="0" w:color="auto"/>
        <w:right w:val="none" w:sz="0" w:space="0" w:color="auto"/>
      </w:divBdr>
    </w:div>
    <w:div w:id="915091631">
      <w:bodyDiv w:val="1"/>
      <w:marLeft w:val="0"/>
      <w:marRight w:val="0"/>
      <w:marTop w:val="0"/>
      <w:marBottom w:val="0"/>
      <w:divBdr>
        <w:top w:val="none" w:sz="0" w:space="0" w:color="auto"/>
        <w:left w:val="none" w:sz="0" w:space="0" w:color="auto"/>
        <w:bottom w:val="none" w:sz="0" w:space="0" w:color="auto"/>
        <w:right w:val="none" w:sz="0" w:space="0" w:color="auto"/>
      </w:divBdr>
    </w:div>
    <w:div w:id="1021659906">
      <w:bodyDiv w:val="1"/>
      <w:marLeft w:val="0"/>
      <w:marRight w:val="0"/>
      <w:marTop w:val="0"/>
      <w:marBottom w:val="0"/>
      <w:divBdr>
        <w:top w:val="none" w:sz="0" w:space="0" w:color="auto"/>
        <w:left w:val="none" w:sz="0" w:space="0" w:color="auto"/>
        <w:bottom w:val="none" w:sz="0" w:space="0" w:color="auto"/>
        <w:right w:val="none" w:sz="0" w:space="0" w:color="auto"/>
      </w:divBdr>
    </w:div>
    <w:div w:id="1079670708">
      <w:bodyDiv w:val="1"/>
      <w:marLeft w:val="0"/>
      <w:marRight w:val="0"/>
      <w:marTop w:val="0"/>
      <w:marBottom w:val="0"/>
      <w:divBdr>
        <w:top w:val="none" w:sz="0" w:space="0" w:color="auto"/>
        <w:left w:val="none" w:sz="0" w:space="0" w:color="auto"/>
        <w:bottom w:val="none" w:sz="0" w:space="0" w:color="auto"/>
        <w:right w:val="none" w:sz="0" w:space="0" w:color="auto"/>
      </w:divBdr>
    </w:div>
    <w:div w:id="1104305298">
      <w:bodyDiv w:val="1"/>
      <w:marLeft w:val="0"/>
      <w:marRight w:val="0"/>
      <w:marTop w:val="0"/>
      <w:marBottom w:val="0"/>
      <w:divBdr>
        <w:top w:val="none" w:sz="0" w:space="0" w:color="auto"/>
        <w:left w:val="none" w:sz="0" w:space="0" w:color="auto"/>
        <w:bottom w:val="none" w:sz="0" w:space="0" w:color="auto"/>
        <w:right w:val="none" w:sz="0" w:space="0" w:color="auto"/>
      </w:divBdr>
    </w:div>
    <w:div w:id="1106539863">
      <w:bodyDiv w:val="1"/>
      <w:marLeft w:val="0"/>
      <w:marRight w:val="0"/>
      <w:marTop w:val="0"/>
      <w:marBottom w:val="0"/>
      <w:divBdr>
        <w:top w:val="none" w:sz="0" w:space="0" w:color="auto"/>
        <w:left w:val="none" w:sz="0" w:space="0" w:color="auto"/>
        <w:bottom w:val="none" w:sz="0" w:space="0" w:color="auto"/>
        <w:right w:val="none" w:sz="0" w:space="0" w:color="auto"/>
      </w:divBdr>
    </w:div>
    <w:div w:id="1239244152">
      <w:bodyDiv w:val="1"/>
      <w:marLeft w:val="0"/>
      <w:marRight w:val="0"/>
      <w:marTop w:val="0"/>
      <w:marBottom w:val="0"/>
      <w:divBdr>
        <w:top w:val="none" w:sz="0" w:space="0" w:color="auto"/>
        <w:left w:val="none" w:sz="0" w:space="0" w:color="auto"/>
        <w:bottom w:val="none" w:sz="0" w:space="0" w:color="auto"/>
        <w:right w:val="none" w:sz="0" w:space="0" w:color="auto"/>
      </w:divBdr>
    </w:div>
    <w:div w:id="1669555507">
      <w:bodyDiv w:val="1"/>
      <w:marLeft w:val="0"/>
      <w:marRight w:val="0"/>
      <w:marTop w:val="0"/>
      <w:marBottom w:val="0"/>
      <w:divBdr>
        <w:top w:val="none" w:sz="0" w:space="0" w:color="auto"/>
        <w:left w:val="none" w:sz="0" w:space="0" w:color="auto"/>
        <w:bottom w:val="none" w:sz="0" w:space="0" w:color="auto"/>
        <w:right w:val="none" w:sz="0" w:space="0" w:color="auto"/>
      </w:divBdr>
    </w:div>
    <w:div w:id="1747653917">
      <w:bodyDiv w:val="1"/>
      <w:marLeft w:val="0"/>
      <w:marRight w:val="0"/>
      <w:marTop w:val="0"/>
      <w:marBottom w:val="0"/>
      <w:divBdr>
        <w:top w:val="none" w:sz="0" w:space="0" w:color="auto"/>
        <w:left w:val="none" w:sz="0" w:space="0" w:color="auto"/>
        <w:bottom w:val="none" w:sz="0" w:space="0" w:color="auto"/>
        <w:right w:val="none" w:sz="0" w:space="0" w:color="auto"/>
      </w:divBdr>
    </w:div>
    <w:div w:id="1772428039">
      <w:bodyDiv w:val="1"/>
      <w:marLeft w:val="0"/>
      <w:marRight w:val="0"/>
      <w:marTop w:val="0"/>
      <w:marBottom w:val="0"/>
      <w:divBdr>
        <w:top w:val="none" w:sz="0" w:space="0" w:color="auto"/>
        <w:left w:val="none" w:sz="0" w:space="0" w:color="auto"/>
        <w:bottom w:val="none" w:sz="0" w:space="0" w:color="auto"/>
        <w:right w:val="none" w:sz="0" w:space="0" w:color="auto"/>
      </w:divBdr>
    </w:div>
    <w:div w:id="1850022221">
      <w:bodyDiv w:val="1"/>
      <w:marLeft w:val="0"/>
      <w:marRight w:val="0"/>
      <w:marTop w:val="0"/>
      <w:marBottom w:val="0"/>
      <w:divBdr>
        <w:top w:val="none" w:sz="0" w:space="0" w:color="auto"/>
        <w:left w:val="none" w:sz="0" w:space="0" w:color="auto"/>
        <w:bottom w:val="none" w:sz="0" w:space="0" w:color="auto"/>
        <w:right w:val="none" w:sz="0" w:space="0" w:color="auto"/>
      </w:divBdr>
      <w:divsChild>
        <w:div w:id="418983375">
          <w:marLeft w:val="-720"/>
          <w:marRight w:val="0"/>
          <w:marTop w:val="0"/>
          <w:marBottom w:val="0"/>
          <w:divBdr>
            <w:top w:val="none" w:sz="0" w:space="0" w:color="auto"/>
            <w:left w:val="none" w:sz="0" w:space="0" w:color="auto"/>
            <w:bottom w:val="none" w:sz="0" w:space="0" w:color="auto"/>
            <w:right w:val="none" w:sz="0" w:space="0" w:color="auto"/>
          </w:divBdr>
        </w:div>
      </w:divsChild>
    </w:div>
    <w:div w:id="1884320335">
      <w:bodyDiv w:val="1"/>
      <w:marLeft w:val="0"/>
      <w:marRight w:val="0"/>
      <w:marTop w:val="0"/>
      <w:marBottom w:val="0"/>
      <w:divBdr>
        <w:top w:val="none" w:sz="0" w:space="0" w:color="auto"/>
        <w:left w:val="none" w:sz="0" w:space="0" w:color="auto"/>
        <w:bottom w:val="none" w:sz="0" w:space="0" w:color="auto"/>
        <w:right w:val="none" w:sz="0" w:space="0" w:color="auto"/>
      </w:divBdr>
    </w:div>
    <w:div w:id="2025204107">
      <w:bodyDiv w:val="1"/>
      <w:marLeft w:val="0"/>
      <w:marRight w:val="0"/>
      <w:marTop w:val="0"/>
      <w:marBottom w:val="0"/>
      <w:divBdr>
        <w:top w:val="none" w:sz="0" w:space="0" w:color="auto"/>
        <w:left w:val="none" w:sz="0" w:space="0" w:color="auto"/>
        <w:bottom w:val="none" w:sz="0" w:space="0" w:color="auto"/>
        <w:right w:val="none" w:sz="0" w:space="0" w:color="auto"/>
      </w:divBdr>
    </w:div>
    <w:div w:id="2086797763">
      <w:bodyDiv w:val="1"/>
      <w:marLeft w:val="0"/>
      <w:marRight w:val="0"/>
      <w:marTop w:val="0"/>
      <w:marBottom w:val="0"/>
      <w:divBdr>
        <w:top w:val="none" w:sz="0" w:space="0" w:color="auto"/>
        <w:left w:val="none" w:sz="0" w:space="0" w:color="auto"/>
        <w:bottom w:val="none" w:sz="0" w:space="0" w:color="auto"/>
        <w:right w:val="none" w:sz="0" w:space="0" w:color="auto"/>
      </w:divBdr>
      <w:divsChild>
        <w:div w:id="389617602">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b23d0d08-258a-419a-be66-36600c2a9d9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A6E4B0FEA75AC48B1CCABEAC5DAE6E5" ma:contentTypeVersion="6" ma:contentTypeDescription="Create a new document." ma:contentTypeScope="" ma:versionID="64f5e12d357957299da579233f0c6c6c">
  <xsd:schema xmlns:xsd="http://www.w3.org/2001/XMLSchema" xmlns:xs="http://www.w3.org/2001/XMLSchema" xmlns:p="http://schemas.microsoft.com/office/2006/metadata/properties" xmlns:ns3="b23d0d08-258a-419a-be66-36600c2a9d90" targetNamespace="http://schemas.microsoft.com/office/2006/metadata/properties" ma:root="true" ma:fieldsID="eb84d7cc476082b7ebcdc90aed5c04c7" ns3:_="">
    <xsd:import namespace="b23d0d08-258a-419a-be66-36600c2a9d90"/>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3d0d08-258a-419a-be66-36600c2a9d90"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_activity" ma:index="13"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879281-5420-4725-BE71-97747557BE98}">
  <ds:schemaRefs>
    <ds:schemaRef ds:uri="http://schemas.microsoft.com/office/2006/metadata/properties"/>
    <ds:schemaRef ds:uri="http://purl.org/dc/elements/1.1/"/>
    <ds:schemaRef ds:uri="http://purl.org/dc/dcmitype/"/>
    <ds:schemaRef ds:uri="http://schemas.microsoft.com/office/2006/documentManagement/types"/>
    <ds:schemaRef ds:uri="http://purl.org/dc/terms/"/>
    <ds:schemaRef ds:uri="http://www.w3.org/XML/1998/namespace"/>
    <ds:schemaRef ds:uri="http://schemas.microsoft.com/office/infopath/2007/PartnerControls"/>
    <ds:schemaRef ds:uri="http://schemas.openxmlformats.org/package/2006/metadata/core-properties"/>
    <ds:schemaRef ds:uri="b23d0d08-258a-419a-be66-36600c2a9d90"/>
  </ds:schemaRefs>
</ds:datastoreItem>
</file>

<file path=customXml/itemProps2.xml><?xml version="1.0" encoding="utf-8"?>
<ds:datastoreItem xmlns:ds="http://schemas.openxmlformats.org/officeDocument/2006/customXml" ds:itemID="{7B902493-CB8B-439D-9F67-C297F5CA7E3F}">
  <ds:schemaRefs>
    <ds:schemaRef ds:uri="http://schemas.microsoft.com/sharepoint/v3/contenttype/forms"/>
  </ds:schemaRefs>
</ds:datastoreItem>
</file>

<file path=customXml/itemProps3.xml><?xml version="1.0" encoding="utf-8"?>
<ds:datastoreItem xmlns:ds="http://schemas.openxmlformats.org/officeDocument/2006/customXml" ds:itemID="{D3FE28FB-499D-4F29-8C2B-3F3B6C17E4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3d0d08-258a-419a-be66-36600c2a9d9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2F663CC-CB1E-4499-87DF-65436E383A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2134</Words>
  <Characters>12166</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Janzen, Sage</dc:creator>
  <cp:keywords/>
  <dc:description/>
  <cp:lastModifiedBy>Janzen, Sage</cp:lastModifiedBy>
  <cp:revision>2</cp:revision>
  <dcterms:created xsi:type="dcterms:W3CDTF">2025-05-05T14:44:00Z</dcterms:created>
  <dcterms:modified xsi:type="dcterms:W3CDTF">2025-05-05T14:44:00Z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0x0101006A6E4B0FEA75AC48B1CCABEAC5DAE6E5</vt:lpwstr>
  </property>
</Properties>
</file>